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8B95E1" w14:textId="74E98BA9" w:rsidR="003247AC" w:rsidRPr="003404D2" w:rsidRDefault="003247AC" w:rsidP="003247AC">
      <w:pPr>
        <w:pStyle w:val="Heading1"/>
        <w:jc w:val="center"/>
        <w:rPr>
          <w:sz w:val="28"/>
          <w:szCs w:val="28"/>
        </w:rPr>
      </w:pPr>
      <w:bookmarkStart w:id="0" w:name="_Toc369588999"/>
      <w:r w:rsidRPr="003404D2">
        <w:rPr>
          <w:sz w:val="28"/>
          <w:szCs w:val="28"/>
        </w:rPr>
        <w:t>10.</w:t>
      </w:r>
      <w:r w:rsidR="006F6E76">
        <w:rPr>
          <w:sz w:val="28"/>
          <w:szCs w:val="28"/>
        </w:rPr>
        <w:t>48</w:t>
      </w:r>
      <w:r w:rsidRPr="003404D2">
        <w:rPr>
          <w:sz w:val="28"/>
          <w:szCs w:val="28"/>
        </w:rPr>
        <w:t xml:space="preserve">.  </w:t>
      </w:r>
      <w:bookmarkEnd w:id="0"/>
      <w:r w:rsidR="006F6E76">
        <w:rPr>
          <w:sz w:val="28"/>
          <w:szCs w:val="28"/>
        </w:rPr>
        <w:t>Sexual Misconduct with a Minor—Defenses</w:t>
      </w:r>
    </w:p>
    <w:p w14:paraId="7701A457" w14:textId="77777777" w:rsidR="003247AC" w:rsidRDefault="003247AC" w:rsidP="003247AC">
      <w:pPr>
        <w:rPr>
          <w:sz w:val="22"/>
          <w:szCs w:val="22"/>
        </w:rPr>
      </w:pPr>
    </w:p>
    <w:p w14:paraId="150A8203" w14:textId="7C0D1E1F" w:rsidR="00476753" w:rsidRPr="006F6E76" w:rsidRDefault="006F6E76" w:rsidP="006F6E76">
      <w:pPr>
        <w:rPr>
          <w:b/>
          <w:sz w:val="22"/>
          <w:szCs w:val="22"/>
        </w:rPr>
      </w:pPr>
      <w:r w:rsidRPr="006F6E76">
        <w:rPr>
          <w:b/>
          <w:sz w:val="22"/>
          <w:szCs w:val="22"/>
        </w:rPr>
        <w:t>Ind. Code § 35-42-4-9(c); (d); and (e).</w:t>
      </w:r>
    </w:p>
    <w:p w14:paraId="4F2A6FDA" w14:textId="3B27D945" w:rsidR="00476753" w:rsidRDefault="00476753" w:rsidP="00476753">
      <w:pPr>
        <w:rPr>
          <w:sz w:val="22"/>
          <w:szCs w:val="22"/>
        </w:rPr>
      </w:pPr>
    </w:p>
    <w:p w14:paraId="0244576B" w14:textId="28D6C8B8" w:rsidR="006F6E76" w:rsidRDefault="006F6E76" w:rsidP="006F6E76">
      <w:pPr>
        <w:rPr>
          <w:sz w:val="22"/>
          <w:szCs w:val="22"/>
        </w:rPr>
      </w:pPr>
      <w:r w:rsidRPr="006F6E76">
        <w:rPr>
          <w:sz w:val="22"/>
          <w:szCs w:val="22"/>
        </w:rPr>
        <w:t>[It is a defense that the Defendant reasonably believed that [name child] was sixteen years of age or older. If the Defendant proved this by a preponderance of the evidence, you must find the Defendant not guilty of sexual misconduct with a minor, a Class C/B felony, charged in Count</w:t>
      </w:r>
      <w:r>
        <w:rPr>
          <w:sz w:val="22"/>
          <w:szCs w:val="22"/>
        </w:rPr>
        <w:t>________</w:t>
      </w:r>
      <w:proofErr w:type="gramStart"/>
      <w:r>
        <w:rPr>
          <w:sz w:val="22"/>
          <w:szCs w:val="22"/>
        </w:rPr>
        <w:t>_</w:t>
      </w:r>
      <w:r w:rsidRPr="006F6E76">
        <w:rPr>
          <w:sz w:val="22"/>
          <w:szCs w:val="22"/>
        </w:rPr>
        <w:t> .</w:t>
      </w:r>
      <w:proofErr w:type="gramEnd"/>
      <w:r w:rsidRPr="006F6E76">
        <w:rPr>
          <w:sz w:val="22"/>
          <w:szCs w:val="22"/>
        </w:rPr>
        <w:t>]</w:t>
      </w:r>
    </w:p>
    <w:p w14:paraId="6992DA54" w14:textId="77777777" w:rsidR="006F6E76" w:rsidRPr="006F6E76" w:rsidRDefault="006F6E76" w:rsidP="006F6E76">
      <w:pPr>
        <w:rPr>
          <w:sz w:val="22"/>
          <w:szCs w:val="22"/>
        </w:rPr>
      </w:pPr>
    </w:p>
    <w:p w14:paraId="12DA4359" w14:textId="737C2796" w:rsidR="006F6E76" w:rsidRPr="006F6E76" w:rsidRDefault="006F6E76" w:rsidP="006F6E76">
      <w:pPr>
        <w:rPr>
          <w:sz w:val="22"/>
          <w:szCs w:val="22"/>
        </w:rPr>
      </w:pPr>
      <w:r w:rsidRPr="006F6E76">
        <w:rPr>
          <w:sz w:val="22"/>
          <w:szCs w:val="22"/>
        </w:rPr>
        <w:t>[It is a defense that [name child] either was married or had been married at the time of the occurrence. If the Defendant proved this by a preponderance of the evidence, you must find the Defendant not guilty of sexual misconduct with a minor, a Class C/B felony, charged in Count</w:t>
      </w:r>
      <w:r>
        <w:rPr>
          <w:sz w:val="22"/>
          <w:szCs w:val="22"/>
        </w:rPr>
        <w:t>__________</w:t>
      </w:r>
      <w:proofErr w:type="gramStart"/>
      <w:r>
        <w:rPr>
          <w:sz w:val="22"/>
          <w:szCs w:val="22"/>
        </w:rPr>
        <w:t>_</w:t>
      </w:r>
      <w:r w:rsidRPr="006F6E76">
        <w:rPr>
          <w:sz w:val="22"/>
          <w:szCs w:val="22"/>
        </w:rPr>
        <w:t> .</w:t>
      </w:r>
      <w:proofErr w:type="gramEnd"/>
      <w:r w:rsidRPr="006F6E76">
        <w:rPr>
          <w:sz w:val="22"/>
          <w:szCs w:val="22"/>
        </w:rPr>
        <w:t>]</w:t>
      </w:r>
    </w:p>
    <w:p w14:paraId="256A3DA8" w14:textId="77777777" w:rsidR="006F6E76" w:rsidRDefault="006F6E76" w:rsidP="006F6E76">
      <w:pPr>
        <w:rPr>
          <w:sz w:val="22"/>
          <w:szCs w:val="22"/>
        </w:rPr>
      </w:pPr>
    </w:p>
    <w:p w14:paraId="5A565C88" w14:textId="7D078AF1" w:rsidR="006F6E76" w:rsidRPr="006F6E76" w:rsidRDefault="006F6E76" w:rsidP="006F6E76">
      <w:pPr>
        <w:rPr>
          <w:sz w:val="22"/>
          <w:szCs w:val="22"/>
        </w:rPr>
      </w:pPr>
      <w:r w:rsidRPr="006F6E76">
        <w:rPr>
          <w:sz w:val="22"/>
          <w:szCs w:val="22"/>
        </w:rPr>
        <w:t>[It is a defense that:</w:t>
      </w:r>
    </w:p>
    <w:p w14:paraId="3E28B041" w14:textId="77CC247A" w:rsidR="006F6E76" w:rsidRPr="006F6E76" w:rsidRDefault="006F6E76" w:rsidP="006F6E76">
      <w:pPr>
        <w:numPr>
          <w:ilvl w:val="0"/>
          <w:numId w:val="2"/>
        </w:numPr>
        <w:rPr>
          <w:sz w:val="22"/>
          <w:szCs w:val="22"/>
        </w:rPr>
      </w:pPr>
      <w:r w:rsidRPr="006F6E76">
        <w:rPr>
          <w:sz w:val="22"/>
          <w:szCs w:val="22"/>
        </w:rPr>
        <w:t>the Defendant was not more than four years older than the child</w:t>
      </w:r>
    </w:p>
    <w:p w14:paraId="39FE95FD" w14:textId="6DA06357" w:rsidR="006F6E76" w:rsidRPr="006F6E76" w:rsidRDefault="006F6E76" w:rsidP="006F6E76">
      <w:pPr>
        <w:numPr>
          <w:ilvl w:val="0"/>
          <w:numId w:val="2"/>
        </w:numPr>
        <w:rPr>
          <w:sz w:val="22"/>
          <w:szCs w:val="22"/>
        </w:rPr>
      </w:pPr>
      <w:r w:rsidRPr="006F6E76">
        <w:rPr>
          <w:sz w:val="22"/>
          <w:szCs w:val="22"/>
        </w:rPr>
        <w:t>and</w:t>
      </w:r>
    </w:p>
    <w:p w14:paraId="76CCE5B8" w14:textId="3D0FE6BC" w:rsidR="006F6E76" w:rsidRPr="006F6E76" w:rsidRDefault="006F6E76" w:rsidP="006F6E76">
      <w:pPr>
        <w:numPr>
          <w:ilvl w:val="0"/>
          <w:numId w:val="2"/>
        </w:numPr>
        <w:rPr>
          <w:sz w:val="22"/>
          <w:szCs w:val="22"/>
        </w:rPr>
      </w:pPr>
      <w:r w:rsidRPr="006F6E76">
        <w:rPr>
          <w:sz w:val="22"/>
          <w:szCs w:val="22"/>
        </w:rPr>
        <w:t>the relationship between the Defendant and the child was (a dating relationship) (an ongoing personal relationship, but not including a family relationship)</w:t>
      </w:r>
    </w:p>
    <w:p w14:paraId="2D95C9BE" w14:textId="261383F4" w:rsidR="006F6E76" w:rsidRPr="006F6E76" w:rsidRDefault="006F6E76" w:rsidP="006F6E76">
      <w:pPr>
        <w:numPr>
          <w:ilvl w:val="0"/>
          <w:numId w:val="2"/>
        </w:numPr>
        <w:rPr>
          <w:sz w:val="22"/>
          <w:szCs w:val="22"/>
        </w:rPr>
      </w:pPr>
      <w:r w:rsidRPr="006F6E76">
        <w:rPr>
          <w:sz w:val="22"/>
          <w:szCs w:val="22"/>
        </w:rPr>
        <w:t>and</w:t>
      </w:r>
    </w:p>
    <w:p w14:paraId="66694846" w14:textId="55B9F052" w:rsidR="006F6E76" w:rsidRPr="006F6E76" w:rsidRDefault="006F6E76" w:rsidP="006F6E76">
      <w:pPr>
        <w:numPr>
          <w:ilvl w:val="0"/>
          <w:numId w:val="2"/>
        </w:numPr>
        <w:rPr>
          <w:sz w:val="22"/>
          <w:szCs w:val="22"/>
        </w:rPr>
      </w:pPr>
      <w:r w:rsidRPr="006F6E76">
        <w:rPr>
          <w:sz w:val="22"/>
          <w:szCs w:val="22"/>
        </w:rPr>
        <w:t>the Defendant was under twenty-one (21 years of age at the time of the sexual conduct</w:t>
      </w:r>
    </w:p>
    <w:p w14:paraId="7006A5DB" w14:textId="59455AF8" w:rsidR="006F6E76" w:rsidRPr="006F6E76" w:rsidRDefault="006F6E76" w:rsidP="006F6E76">
      <w:pPr>
        <w:numPr>
          <w:ilvl w:val="0"/>
          <w:numId w:val="2"/>
        </w:numPr>
        <w:rPr>
          <w:sz w:val="22"/>
          <w:szCs w:val="22"/>
        </w:rPr>
      </w:pPr>
      <w:r w:rsidRPr="006F6E76">
        <w:rPr>
          <w:sz w:val="22"/>
          <w:szCs w:val="22"/>
        </w:rPr>
        <w:t>and</w:t>
      </w:r>
    </w:p>
    <w:p w14:paraId="4A15A923" w14:textId="54BFCC7C" w:rsidR="006F6E76" w:rsidRPr="006F6E76" w:rsidRDefault="006F6E76" w:rsidP="006F6E76">
      <w:pPr>
        <w:numPr>
          <w:ilvl w:val="0"/>
          <w:numId w:val="2"/>
        </w:numPr>
        <w:rPr>
          <w:sz w:val="22"/>
          <w:szCs w:val="22"/>
        </w:rPr>
      </w:pPr>
      <w:r w:rsidRPr="006F6E76">
        <w:rPr>
          <w:sz w:val="22"/>
          <w:szCs w:val="22"/>
        </w:rPr>
        <w:t>the sexual conduct</w:t>
      </w:r>
    </w:p>
    <w:p w14:paraId="3C0670D1" w14:textId="5D149C91" w:rsidR="006F6E76" w:rsidRPr="006F6E76" w:rsidRDefault="006F6E76" w:rsidP="006F6E76">
      <w:pPr>
        <w:numPr>
          <w:ilvl w:val="1"/>
          <w:numId w:val="2"/>
        </w:numPr>
        <w:rPr>
          <w:sz w:val="22"/>
          <w:szCs w:val="22"/>
        </w:rPr>
      </w:pPr>
      <w:r w:rsidRPr="006F6E76">
        <w:rPr>
          <w:sz w:val="22"/>
          <w:szCs w:val="22"/>
        </w:rPr>
        <w:t>was not committed by using or threatening the use of deadly force</w:t>
      </w:r>
    </w:p>
    <w:p w14:paraId="5E22D83E" w14:textId="7AC7599D" w:rsidR="006F6E76" w:rsidRPr="006F6E76" w:rsidRDefault="006F6E76" w:rsidP="006F6E76">
      <w:pPr>
        <w:numPr>
          <w:ilvl w:val="1"/>
          <w:numId w:val="2"/>
        </w:numPr>
        <w:rPr>
          <w:sz w:val="22"/>
          <w:szCs w:val="22"/>
        </w:rPr>
      </w:pPr>
      <w:r w:rsidRPr="006F6E76">
        <w:rPr>
          <w:sz w:val="22"/>
          <w:szCs w:val="22"/>
        </w:rPr>
        <w:t>and</w:t>
      </w:r>
    </w:p>
    <w:p w14:paraId="79CEA5F3" w14:textId="4CC5CE4D" w:rsidR="006F6E76" w:rsidRPr="006F6E76" w:rsidRDefault="006F6E76" w:rsidP="006F6E76">
      <w:pPr>
        <w:numPr>
          <w:ilvl w:val="1"/>
          <w:numId w:val="2"/>
        </w:numPr>
        <w:rPr>
          <w:sz w:val="22"/>
          <w:szCs w:val="22"/>
        </w:rPr>
      </w:pPr>
      <w:r w:rsidRPr="006F6E76">
        <w:rPr>
          <w:sz w:val="22"/>
          <w:szCs w:val="22"/>
        </w:rPr>
        <w:t>was not committed while armed with a deadly weapon</w:t>
      </w:r>
    </w:p>
    <w:p w14:paraId="07C15CE8" w14:textId="5B8839F6" w:rsidR="006F6E76" w:rsidRPr="006F6E76" w:rsidRDefault="006F6E76" w:rsidP="006F6E76">
      <w:pPr>
        <w:numPr>
          <w:ilvl w:val="1"/>
          <w:numId w:val="2"/>
        </w:numPr>
        <w:rPr>
          <w:sz w:val="22"/>
          <w:szCs w:val="22"/>
        </w:rPr>
      </w:pPr>
      <w:r w:rsidRPr="006F6E76">
        <w:rPr>
          <w:sz w:val="22"/>
          <w:szCs w:val="22"/>
        </w:rPr>
        <w:t>and</w:t>
      </w:r>
    </w:p>
    <w:p w14:paraId="2015ED0D" w14:textId="142471FB" w:rsidR="006F6E76" w:rsidRPr="006F6E76" w:rsidRDefault="006F6E76" w:rsidP="006F6E76">
      <w:pPr>
        <w:numPr>
          <w:ilvl w:val="1"/>
          <w:numId w:val="2"/>
        </w:numPr>
        <w:rPr>
          <w:sz w:val="22"/>
          <w:szCs w:val="22"/>
        </w:rPr>
      </w:pPr>
      <w:r w:rsidRPr="006F6E76">
        <w:rPr>
          <w:sz w:val="22"/>
          <w:szCs w:val="22"/>
        </w:rPr>
        <w:t>did not result in serious bodily injury</w:t>
      </w:r>
    </w:p>
    <w:p w14:paraId="0433CB1E" w14:textId="553554F7" w:rsidR="006F6E76" w:rsidRPr="006F6E76" w:rsidRDefault="006F6E76" w:rsidP="006F6E76">
      <w:pPr>
        <w:numPr>
          <w:ilvl w:val="1"/>
          <w:numId w:val="2"/>
        </w:numPr>
        <w:rPr>
          <w:sz w:val="22"/>
          <w:szCs w:val="22"/>
        </w:rPr>
      </w:pPr>
      <w:r w:rsidRPr="006F6E76">
        <w:rPr>
          <w:sz w:val="22"/>
          <w:szCs w:val="22"/>
        </w:rPr>
        <w:t>and</w:t>
      </w:r>
    </w:p>
    <w:p w14:paraId="5203E4A3" w14:textId="7A097D11" w:rsidR="006F6E76" w:rsidRPr="006F6E76" w:rsidRDefault="006F6E76" w:rsidP="006F6E76">
      <w:pPr>
        <w:numPr>
          <w:ilvl w:val="1"/>
          <w:numId w:val="2"/>
        </w:numPr>
        <w:rPr>
          <w:sz w:val="22"/>
          <w:szCs w:val="22"/>
        </w:rPr>
      </w:pPr>
      <w:r w:rsidRPr="006F6E76">
        <w:rPr>
          <w:sz w:val="22"/>
          <w:szCs w:val="22"/>
        </w:rPr>
        <w:t>was not facilitated by furnishing [name child] without [name child’s] knowledge with a drug or a controlled substance)</w:t>
      </w:r>
    </w:p>
    <w:p w14:paraId="7A671787" w14:textId="590FE03F" w:rsidR="006F6E76" w:rsidRPr="006F6E76" w:rsidRDefault="006F6E76" w:rsidP="006F6E76">
      <w:pPr>
        <w:numPr>
          <w:ilvl w:val="1"/>
          <w:numId w:val="2"/>
        </w:numPr>
        <w:rPr>
          <w:sz w:val="22"/>
          <w:szCs w:val="22"/>
        </w:rPr>
      </w:pPr>
      <w:r w:rsidRPr="006F6E76">
        <w:rPr>
          <w:sz w:val="22"/>
          <w:szCs w:val="22"/>
        </w:rPr>
        <w:t>and</w:t>
      </w:r>
    </w:p>
    <w:p w14:paraId="5FFE9FD6" w14:textId="511AC074" w:rsidR="006F6E76" w:rsidRPr="006F6E76" w:rsidRDefault="006F6E76" w:rsidP="006F6E76">
      <w:pPr>
        <w:numPr>
          <w:ilvl w:val="1"/>
          <w:numId w:val="2"/>
        </w:numPr>
        <w:rPr>
          <w:sz w:val="22"/>
          <w:szCs w:val="22"/>
        </w:rPr>
      </w:pPr>
      <w:r w:rsidRPr="006F6E76">
        <w:rPr>
          <w:sz w:val="22"/>
          <w:szCs w:val="22"/>
        </w:rPr>
        <w:t>the commission of the offense was facilitated knowing that [name child] had been furnished with a drug or a controlled substance without [name child’s] knowledge</w:t>
      </w:r>
    </w:p>
    <w:p w14:paraId="4646B014" w14:textId="0A560DBE" w:rsidR="006F6E76" w:rsidRPr="006F6E76" w:rsidRDefault="006F6E76" w:rsidP="006F6E76">
      <w:pPr>
        <w:numPr>
          <w:ilvl w:val="0"/>
          <w:numId w:val="2"/>
        </w:numPr>
        <w:rPr>
          <w:sz w:val="22"/>
          <w:szCs w:val="22"/>
        </w:rPr>
      </w:pPr>
      <w:r w:rsidRPr="006F6E76">
        <w:rPr>
          <w:sz w:val="22"/>
          <w:szCs w:val="22"/>
        </w:rPr>
        <w:t>and</w:t>
      </w:r>
    </w:p>
    <w:p w14:paraId="20DDD937" w14:textId="2259DF35" w:rsidR="006F6E76" w:rsidRPr="006F6E76" w:rsidRDefault="006F6E76" w:rsidP="006F6E76">
      <w:pPr>
        <w:numPr>
          <w:ilvl w:val="0"/>
          <w:numId w:val="2"/>
        </w:numPr>
        <w:rPr>
          <w:sz w:val="22"/>
          <w:szCs w:val="22"/>
        </w:rPr>
      </w:pPr>
      <w:r w:rsidRPr="006F6E76">
        <w:rPr>
          <w:sz w:val="22"/>
          <w:szCs w:val="22"/>
        </w:rPr>
        <w:t>the Defendant did not have a position of authority or substantial influence over the child.</w:t>
      </w:r>
    </w:p>
    <w:p w14:paraId="383E7F8F" w14:textId="77777777" w:rsidR="006F6E76" w:rsidRDefault="006F6E76" w:rsidP="006F6E76">
      <w:pPr>
        <w:rPr>
          <w:sz w:val="22"/>
          <w:szCs w:val="22"/>
        </w:rPr>
      </w:pPr>
    </w:p>
    <w:p w14:paraId="79E2E6AC" w14:textId="714E5529" w:rsidR="006F6E76" w:rsidRPr="006F6E76" w:rsidRDefault="006F6E76" w:rsidP="006F6E76">
      <w:pPr>
        <w:rPr>
          <w:sz w:val="22"/>
          <w:szCs w:val="22"/>
        </w:rPr>
      </w:pPr>
      <w:r w:rsidRPr="006F6E76">
        <w:rPr>
          <w:sz w:val="22"/>
          <w:szCs w:val="22"/>
        </w:rPr>
        <w:t>If the Defendant proved these elements of the defense by a preponderance of the evidence, you must find the Defendant not guilty of sexual misconduct with a minor, a Class C/B felony, charged in Count</w:t>
      </w:r>
      <w:r>
        <w:rPr>
          <w:sz w:val="22"/>
          <w:szCs w:val="22"/>
        </w:rPr>
        <w:t>_____</w:t>
      </w:r>
      <w:r w:rsidRPr="006F6E76">
        <w:rPr>
          <w:sz w:val="22"/>
          <w:szCs w:val="22"/>
        </w:rPr>
        <w:t>.]</w:t>
      </w:r>
    </w:p>
    <w:p w14:paraId="02C6FBB8" w14:textId="26B3788B" w:rsidR="006F6E76" w:rsidRDefault="006F6E76" w:rsidP="00476753">
      <w:pPr>
        <w:rPr>
          <w:sz w:val="22"/>
          <w:szCs w:val="22"/>
        </w:rPr>
      </w:pPr>
    </w:p>
    <w:p w14:paraId="4E2436E7" w14:textId="77777777" w:rsidR="006F6E76" w:rsidRDefault="006F6E76" w:rsidP="00476753">
      <w:pPr>
        <w:rPr>
          <w:sz w:val="22"/>
          <w:szCs w:val="22"/>
        </w:rPr>
      </w:pPr>
    </w:p>
    <w:p w14:paraId="41A6C10C" w14:textId="1E4991D6" w:rsidR="00476753" w:rsidRDefault="00476753" w:rsidP="006F6E76">
      <w:pPr>
        <w:rPr>
          <w:sz w:val="22"/>
          <w:szCs w:val="22"/>
        </w:rPr>
      </w:pPr>
      <w:r>
        <w:rPr>
          <w:sz w:val="22"/>
          <w:szCs w:val="22"/>
        </w:rPr>
        <w:tab/>
      </w:r>
    </w:p>
    <w:p w14:paraId="3548D15C" w14:textId="77777777" w:rsidR="00476753" w:rsidRDefault="00476753" w:rsidP="00476753">
      <w:pPr>
        <w:numPr>
          <w:ilvl w:val="12"/>
          <w:numId w:val="0"/>
        </w:numPr>
        <w:rPr>
          <w:sz w:val="22"/>
          <w:szCs w:val="22"/>
        </w:rPr>
      </w:pPr>
    </w:p>
    <w:p w14:paraId="459494C2" w14:textId="42A30B62" w:rsidR="00476753" w:rsidRDefault="00476753" w:rsidP="00476753">
      <w:pPr>
        <w:numPr>
          <w:ilvl w:val="12"/>
          <w:numId w:val="0"/>
        </w:numPr>
        <w:rPr>
          <w:sz w:val="22"/>
          <w:szCs w:val="22"/>
        </w:rPr>
      </w:pPr>
      <w:r>
        <w:rPr>
          <w:b/>
          <w:bCs/>
          <w:sz w:val="22"/>
          <w:szCs w:val="22"/>
        </w:rPr>
        <w:t>Authority:</w:t>
      </w:r>
      <w:r>
        <w:rPr>
          <w:sz w:val="22"/>
          <w:szCs w:val="22"/>
        </w:rPr>
        <w:t xml:space="preserve"> IN Pattern Instruction No. </w:t>
      </w:r>
      <w:r w:rsidR="006F6E76">
        <w:rPr>
          <w:sz w:val="22"/>
          <w:szCs w:val="22"/>
        </w:rPr>
        <w:t>3</w:t>
      </w:r>
      <w:r>
        <w:rPr>
          <w:sz w:val="22"/>
          <w:szCs w:val="22"/>
        </w:rPr>
        <w:t>.</w:t>
      </w:r>
      <w:r w:rsidR="006F6E76">
        <w:rPr>
          <w:sz w:val="22"/>
          <w:szCs w:val="22"/>
        </w:rPr>
        <w:t>41</w:t>
      </w:r>
      <w:r>
        <w:rPr>
          <w:sz w:val="22"/>
          <w:szCs w:val="22"/>
        </w:rPr>
        <w:t>00.</w:t>
      </w:r>
    </w:p>
    <w:p w14:paraId="701BA440" w14:textId="77777777" w:rsidR="00476753" w:rsidRDefault="00476753" w:rsidP="00476753">
      <w:pPr>
        <w:numPr>
          <w:ilvl w:val="12"/>
          <w:numId w:val="0"/>
        </w:numPr>
        <w:rPr>
          <w:sz w:val="22"/>
          <w:szCs w:val="22"/>
        </w:rPr>
      </w:pPr>
    </w:p>
    <w:p w14:paraId="6F7919EB" w14:textId="55EC3990" w:rsidR="00476753" w:rsidRDefault="00476753" w:rsidP="00476753">
      <w:pPr>
        <w:numPr>
          <w:ilvl w:val="12"/>
          <w:numId w:val="0"/>
        </w:numPr>
        <w:rPr>
          <w:b/>
          <w:sz w:val="22"/>
          <w:szCs w:val="22"/>
        </w:rPr>
      </w:pPr>
      <w:r w:rsidRPr="000C3942">
        <w:rPr>
          <w:b/>
          <w:sz w:val="22"/>
          <w:szCs w:val="22"/>
        </w:rPr>
        <w:t>Comments from Pattern Committee</w:t>
      </w:r>
    </w:p>
    <w:p w14:paraId="626922ED" w14:textId="77777777" w:rsidR="006F6E76" w:rsidRDefault="006F6E76" w:rsidP="00476753">
      <w:pPr>
        <w:numPr>
          <w:ilvl w:val="12"/>
          <w:numId w:val="0"/>
        </w:numPr>
        <w:rPr>
          <w:sz w:val="22"/>
          <w:szCs w:val="22"/>
        </w:rPr>
      </w:pPr>
    </w:p>
    <w:p w14:paraId="32B815EB" w14:textId="5235CCEC" w:rsidR="006F6E76" w:rsidRDefault="006F6E76" w:rsidP="006F6E76">
      <w:pPr>
        <w:rPr>
          <w:sz w:val="24"/>
          <w:szCs w:val="24"/>
        </w:rPr>
      </w:pPr>
      <w:r w:rsidRPr="006F6E76">
        <w:rPr>
          <w:sz w:val="24"/>
          <w:szCs w:val="24"/>
        </w:rPr>
        <w:t xml:space="preserve">This instruction is for use with Class C or B felony sexual misconduct of a minor by intercourse or deviate sexual conduct, Instruction No. 3.37, or with Class D or C felony sexual misconduct of a minor by fondling or touching, Instruction 3.39. This instruction is not to be used with Class A felony sexual misconduct of a minor by intercourse or deviate sexual conduct, Instruction No. </w:t>
      </w:r>
      <w:r w:rsidRPr="006F6E76">
        <w:rPr>
          <w:sz w:val="24"/>
          <w:szCs w:val="24"/>
        </w:rPr>
        <w:lastRenderedPageBreak/>
        <w:t>3.37a, or with Class B felony sexual misconduct of a minor by fondling or touching, Instruction 3.39a.</w:t>
      </w:r>
    </w:p>
    <w:p w14:paraId="750366D4" w14:textId="77777777" w:rsidR="006F6E76" w:rsidRPr="006F6E76" w:rsidRDefault="006F6E76" w:rsidP="006F6E76">
      <w:pPr>
        <w:rPr>
          <w:sz w:val="24"/>
          <w:szCs w:val="24"/>
        </w:rPr>
      </w:pPr>
    </w:p>
    <w:p w14:paraId="5B2DB25C" w14:textId="0F311DC7" w:rsidR="006F6E76" w:rsidRPr="006F6E76" w:rsidRDefault="006F6E76" w:rsidP="006F6E76">
      <w:pPr>
        <w:rPr>
          <w:sz w:val="24"/>
          <w:szCs w:val="24"/>
        </w:rPr>
      </w:pPr>
      <w:r w:rsidRPr="006F6E76">
        <w:rPr>
          <w:sz w:val="24"/>
          <w:szCs w:val="24"/>
        </w:rPr>
        <w:t>As noted in the Comments to Instructions 3.37 and 3.39, knowledge of the age of the child is not an element of the offense, and unmarried status of the child is also not an element. For this reason, the Committee has placed the burden to prove these defenses on the Defendant.</w:t>
      </w:r>
    </w:p>
    <w:p w14:paraId="18820045" w14:textId="77777777" w:rsidR="006F6E76" w:rsidRDefault="006F6E76" w:rsidP="006F6E76">
      <w:pPr>
        <w:ind w:left="720"/>
        <w:rPr>
          <w:sz w:val="24"/>
          <w:szCs w:val="24"/>
        </w:rPr>
      </w:pPr>
    </w:p>
    <w:p w14:paraId="03206A0A" w14:textId="1E8CBED7" w:rsidR="006F6E76" w:rsidRDefault="006F6E76" w:rsidP="006F6E76">
      <w:pPr>
        <w:ind w:left="720"/>
        <w:rPr>
          <w:sz w:val="24"/>
          <w:szCs w:val="24"/>
        </w:rPr>
      </w:pPr>
      <w:bookmarkStart w:id="1" w:name="_GoBack"/>
      <w:bookmarkEnd w:id="1"/>
      <w:r w:rsidRPr="006F6E76">
        <w:rPr>
          <w:sz w:val="24"/>
          <w:szCs w:val="24"/>
        </w:rPr>
        <w:t>In general, a defendant bears the burden of proving an affirmative defense. However, if the affirmative defense specifically negates an element of the crime, then the burden of proof lies on the State to establish beyond a reasonable doubt the absence of the affirmative defense. </w:t>
      </w:r>
      <w:r w:rsidRPr="006F6E76">
        <w:rPr>
          <w:i/>
          <w:iCs/>
          <w:sz w:val="24"/>
          <w:szCs w:val="24"/>
        </w:rPr>
        <w:t>Ward v. State, 4</w:t>
      </w:r>
      <w:r w:rsidRPr="006F6E76">
        <w:rPr>
          <w:sz w:val="24"/>
          <w:szCs w:val="24"/>
        </w:rPr>
        <w:t> 38 N.E.2d 750, 753 (Ind. 1982), (citing </w:t>
      </w:r>
      <w:r w:rsidRPr="006F6E76">
        <w:rPr>
          <w:i/>
          <w:iCs/>
          <w:sz w:val="24"/>
          <w:szCs w:val="24"/>
        </w:rPr>
        <w:t>Patterson v. New York</w:t>
      </w:r>
      <w:r w:rsidRPr="006F6E76">
        <w:rPr>
          <w:sz w:val="24"/>
          <w:szCs w:val="24"/>
        </w:rPr>
        <w:t>, 432 U.S. 197, 97 S. Ct. 2319, 53 L. Ed. 2d 281 (1977).) A difference exists between facts in mitigation of culpability that are separate and distinct from the elements of the crime and an affirmative defense that negates an element of the crime. Ward, 438 N.E.2d at 753.</w:t>
      </w:r>
    </w:p>
    <w:p w14:paraId="5E7539C3" w14:textId="77777777" w:rsidR="006F6E76" w:rsidRPr="006F6E76" w:rsidRDefault="006F6E76" w:rsidP="006F6E76">
      <w:pPr>
        <w:rPr>
          <w:sz w:val="24"/>
          <w:szCs w:val="24"/>
        </w:rPr>
      </w:pPr>
    </w:p>
    <w:p w14:paraId="0D90A35B" w14:textId="26E05036" w:rsidR="006F6E76" w:rsidRPr="006F6E76" w:rsidRDefault="006F6E76" w:rsidP="006F6E76">
      <w:pPr>
        <w:rPr>
          <w:sz w:val="24"/>
          <w:szCs w:val="24"/>
        </w:rPr>
      </w:pPr>
      <w:r w:rsidRPr="006F6E76">
        <w:rPr>
          <w:i/>
          <w:iCs/>
          <w:sz w:val="24"/>
          <w:szCs w:val="24"/>
        </w:rPr>
        <w:t>Blatchford v. State</w:t>
      </w:r>
      <w:r w:rsidRPr="006F6E76">
        <w:rPr>
          <w:sz w:val="24"/>
          <w:szCs w:val="24"/>
        </w:rPr>
        <w:t>, 673 N.E.2d 781, 7872–83 (Ind. Ct. App. 1996) (holding burden to prove statutory defense of inability to pay support was Defendant’s).</w:t>
      </w:r>
    </w:p>
    <w:p w14:paraId="343E647C" w14:textId="77777777" w:rsidR="009F4D54" w:rsidRDefault="009F4D54"/>
    <w:sectPr w:rsidR="009F4D54" w:rsidSect="009F4D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A42121"/>
    <w:multiLevelType w:val="multilevel"/>
    <w:tmpl w:val="31C6EA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200C2F"/>
    <w:multiLevelType w:val="multilevel"/>
    <w:tmpl w:val="26C6DD56"/>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CITRUS_JURISDICTION" w:val="Bluebook"/>
    <w:docVar w:name="CITRUS_DOC_GUID" w:val="c0c97795-667f-4393-931a-2978884ee4f2"/>
  </w:docVars>
  <w:rsids>
    <w:rsidRoot w:val="003247AC"/>
    <w:rsid w:val="003247AC"/>
    <w:rsid w:val="00476753"/>
    <w:rsid w:val="004D5622"/>
    <w:rsid w:val="006F6E76"/>
    <w:rsid w:val="009F4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A5226"/>
  <w15:docId w15:val="{5E6EC143-D3FC-4BB1-B233-80C9AD2A3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7A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247AC"/>
    <w:pPr>
      <w:keepNext/>
      <w:spacing w:before="240" w:after="60"/>
      <w:outlineLvl w:val="0"/>
    </w:pPr>
    <w:rPr>
      <w:rFonts w:ascii="Cambria" w:hAnsi="Cambria"/>
      <w:b/>
      <w:bCs/>
      <w:kern w:val="32"/>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247AC"/>
    <w:rPr>
      <w:rFonts w:ascii="Cambria" w:eastAsia="Times New Roman" w:hAnsi="Cambria" w:cs="Times New Roman"/>
      <w:b/>
      <w:bCs/>
      <w:kern w:val="32"/>
      <w:sz w:val="32"/>
      <w:szCs w:val="32"/>
    </w:rPr>
  </w:style>
  <w:style w:type="paragraph" w:customStyle="1" w:styleId="Level1">
    <w:name w:val="Level 1"/>
    <w:rsid w:val="003247AC"/>
    <w:pPr>
      <w:widowControl w:val="0"/>
      <w:autoSpaceDE w:val="0"/>
      <w:autoSpaceDN w:val="0"/>
      <w:adjustRightInd w:val="0"/>
      <w:spacing w:after="0" w:line="240" w:lineRule="auto"/>
      <w:ind w:left="720"/>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6E76"/>
    <w:rPr>
      <w:color w:val="0000FF" w:themeColor="hyperlink"/>
      <w:u w:val="single"/>
    </w:rPr>
  </w:style>
  <w:style w:type="character" w:styleId="UnresolvedMention">
    <w:name w:val="Unresolved Mention"/>
    <w:basedOn w:val="DefaultParagraphFont"/>
    <w:uiPriority w:val="99"/>
    <w:semiHidden/>
    <w:unhideWhenUsed/>
    <w:rsid w:val="006F6E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9215860">
      <w:bodyDiv w:val="1"/>
      <w:marLeft w:val="0"/>
      <w:marRight w:val="0"/>
      <w:marTop w:val="0"/>
      <w:marBottom w:val="0"/>
      <w:divBdr>
        <w:top w:val="none" w:sz="0" w:space="0" w:color="auto"/>
        <w:left w:val="none" w:sz="0" w:space="0" w:color="auto"/>
        <w:bottom w:val="none" w:sz="0" w:space="0" w:color="auto"/>
        <w:right w:val="none" w:sz="0" w:space="0" w:color="auto"/>
      </w:divBdr>
      <w:divsChild>
        <w:div w:id="1313868061">
          <w:blockQuote w:val="1"/>
          <w:marLeft w:val="600"/>
          <w:marRight w:val="600"/>
          <w:marTop w:val="240"/>
          <w:marBottom w:val="240"/>
          <w:divBdr>
            <w:top w:val="none" w:sz="0" w:space="0" w:color="auto"/>
            <w:left w:val="none" w:sz="0" w:space="0" w:color="auto"/>
            <w:bottom w:val="none" w:sz="0" w:space="0" w:color="auto"/>
            <w:right w:val="none" w:sz="0" w:space="0" w:color="auto"/>
          </w:divBdr>
        </w:div>
      </w:divsChild>
    </w:div>
    <w:div w:id="676465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7E8DC27C1424B920C2C268FC61F2B" ma:contentTypeVersion="18" ma:contentTypeDescription="Create a new document." ma:contentTypeScope="" ma:versionID="9859781d510ca4752f723066f09e0925">
  <xsd:schema xmlns:xsd="http://www.w3.org/2001/XMLSchema" xmlns:xs="http://www.w3.org/2001/XMLSchema" xmlns:p="http://schemas.microsoft.com/office/2006/metadata/properties" xmlns:ns1="http://schemas.microsoft.com/sharepoint/v3" xmlns:ns2="19f9304c-805d-4861-baca-e08d89417028" xmlns:ns3="a1ae6fbb-4e2c-48b7-8c7c-b89e86a0d2ee" xmlns:ns4="ddb5066c-6899-482b-9ea0-5145f9da9989" targetNamespace="http://schemas.microsoft.com/office/2006/metadata/properties" ma:root="true" ma:fieldsID="e2c587a4c08e97613bf6f14fb5c8e218" ns1:_="" ns2:_="" ns3:_="" ns4:_="">
    <xsd:import namespace="http://schemas.microsoft.com/sharepoint/v3"/>
    <xsd:import namespace="19f9304c-805d-4861-baca-e08d89417028"/>
    <xsd:import namespace="a1ae6fbb-4e2c-48b7-8c7c-b89e86a0d2ee"/>
    <xsd:import namespace="ddb5066c-6899-482b-9ea0-5145f9da9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DateModifi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f9304c-805d-4861-baca-e08d894170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DateModified" ma:index="24" nillable="true" ma:displayName="Date Modified" ma:format="DateTime" ma:internalName="DateModifi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1ae6fbb-4e2c-48b7-8c7c-b89e86a0d2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f00ac69-b4a1-47f8-b767-83f4d3b86c97}" ma:internalName="TaxCatchAll" ma:showField="CatchAllData" ma:web="a1ae6fbb-4e2c-48b7-8c7c-b89e86a0d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db5066c-6899-482b-9ea0-5145f9da9989" xsi:nil="true"/>
    <lcf76f155ced4ddcb4097134ff3c332f xmlns="19f9304c-805d-4861-baca-e08d89417028">
      <Terms xmlns="http://schemas.microsoft.com/office/infopath/2007/PartnerControls"/>
    </lcf76f155ced4ddcb4097134ff3c332f>
    <DateModified xmlns="19f9304c-805d-4861-baca-e08d89417028" xsi:nil="true"/>
  </documentManagement>
</p:properties>
</file>

<file path=customXml/itemProps1.xml><?xml version="1.0" encoding="utf-8"?>
<ds:datastoreItem xmlns:ds="http://schemas.openxmlformats.org/officeDocument/2006/customXml" ds:itemID="{94557067-BD0B-4C3F-A687-C5AEC759ECBD}"/>
</file>

<file path=customXml/itemProps2.xml><?xml version="1.0" encoding="utf-8"?>
<ds:datastoreItem xmlns:ds="http://schemas.openxmlformats.org/officeDocument/2006/customXml" ds:itemID="{236D5D3C-8AC8-4F5D-935C-B1B00590DB64}"/>
</file>

<file path=customXml/itemProps3.xml><?xml version="1.0" encoding="utf-8"?>
<ds:datastoreItem xmlns:ds="http://schemas.openxmlformats.org/officeDocument/2006/customXml" ds:itemID="{5A8E42E8-42E9-4E2B-A906-7FA0C8AA09E6}"/>
</file>

<file path=docProps/app.xml><?xml version="1.0" encoding="utf-8"?>
<Properties xmlns="http://schemas.openxmlformats.org/officeDocument/2006/extended-properties" xmlns:vt="http://schemas.openxmlformats.org/officeDocument/2006/docPropsVTypes">
  <Template>Normal.dotm</Template>
  <TotalTime>5</TotalTime>
  <Pages>2</Pages>
  <Words>514</Words>
  <Characters>2933</Characters>
  <Application>Microsoft Office Word</Application>
  <DocSecurity>0</DocSecurity>
  <Lines>24</Lines>
  <Paragraphs>6</Paragraphs>
  <ScaleCrop>false</ScaleCrop>
  <Company/>
  <LinksUpToDate>false</LinksUpToDate>
  <CharactersWithSpaces>3441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schaney</dc:creator>
  <cp:keywords/>
  <dc:description/>
  <cp:lastModifiedBy>Michael Wilson</cp:lastModifiedBy>
  <cp:revision>3</cp:revision>
  <dcterms:created xsi:type="dcterms:W3CDTF">2019-03-20T14:16:00Z</dcterms:created>
  <dcterms:modified xsi:type="dcterms:W3CDTF">2019-03-20T14:21:00Z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0x010100B0F7E8DC27C1424B920C2C268FC61F2B</vt:lpwstr>
  </property>
</Properties>
</file>