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62E" w:rsidRPr="00FD21F1" w:rsidRDefault="0026762E" w:rsidP="0026762E">
      <w:pPr>
        <w:pStyle w:val="Heading1"/>
        <w:jc w:val="center"/>
        <w:rPr>
          <w:sz w:val="28"/>
          <w:szCs w:val="28"/>
        </w:rPr>
      </w:pPr>
      <w:bookmarkStart w:id="0" w:name="_Toc369589029"/>
      <w:r w:rsidRPr="00FD21F1">
        <w:rPr>
          <w:sz w:val="28"/>
          <w:szCs w:val="28"/>
        </w:rPr>
        <w:t>10.3</w:t>
      </w:r>
      <w:r w:rsidR="00CB6541">
        <w:rPr>
          <w:sz w:val="28"/>
          <w:szCs w:val="28"/>
        </w:rPr>
        <w:t>6</w:t>
      </w:r>
      <w:proofErr w:type="gramStart"/>
      <w:r w:rsidRPr="00FD21F1">
        <w:rPr>
          <w:sz w:val="28"/>
          <w:szCs w:val="28"/>
        </w:rPr>
        <w:t>.  Self</w:t>
      </w:r>
      <w:proofErr w:type="gramEnd"/>
      <w:r w:rsidRPr="00FD21F1">
        <w:rPr>
          <w:sz w:val="28"/>
          <w:szCs w:val="28"/>
        </w:rPr>
        <w:t>-Defense By An Aggressor</w:t>
      </w:r>
      <w:bookmarkStart w:id="1" w:name="_GoBack"/>
      <w:bookmarkEnd w:id="0"/>
      <w:bookmarkEnd w:id="1"/>
    </w:p>
    <w:p w:rsidR="0026762E" w:rsidRDefault="0026762E" w:rsidP="0026762E">
      <w:pPr>
        <w:numPr>
          <w:ilvl w:val="12"/>
          <w:numId w:val="0"/>
        </w:numPr>
        <w:rPr>
          <w:sz w:val="22"/>
          <w:szCs w:val="22"/>
        </w:rPr>
      </w:pPr>
    </w:p>
    <w:p w:rsidR="00CB6541" w:rsidRDefault="00CB6541" w:rsidP="00CB6541">
      <w:pPr>
        <w:numPr>
          <w:ilvl w:val="12"/>
          <w:numId w:val="0"/>
        </w:numPr>
        <w:rPr>
          <w:sz w:val="22"/>
          <w:szCs w:val="22"/>
        </w:rPr>
      </w:pPr>
      <w:r>
        <w:rPr>
          <w:sz w:val="22"/>
          <w:szCs w:val="22"/>
        </w:rPr>
        <w:tab/>
        <w:t>If you find from the evidence and the reasonable inferences to be drawn therefrom, that the Accused started the fight with the victim, then the Accused has a duty to retreat or attempt to retreat.</w:t>
      </w:r>
    </w:p>
    <w:p w:rsidR="00CB6541" w:rsidRDefault="00CB6541" w:rsidP="00CB6541">
      <w:pPr>
        <w:numPr>
          <w:ilvl w:val="12"/>
          <w:numId w:val="0"/>
        </w:numPr>
        <w:rPr>
          <w:sz w:val="22"/>
          <w:szCs w:val="22"/>
        </w:rPr>
      </w:pPr>
    </w:p>
    <w:p w:rsidR="00CB6541" w:rsidRDefault="00CB6541" w:rsidP="00CB6541">
      <w:pPr>
        <w:numPr>
          <w:ilvl w:val="12"/>
          <w:numId w:val="0"/>
        </w:numPr>
        <w:rPr>
          <w:sz w:val="22"/>
          <w:szCs w:val="22"/>
        </w:rPr>
      </w:pPr>
      <w:r>
        <w:rPr>
          <w:sz w:val="22"/>
          <w:szCs w:val="22"/>
        </w:rPr>
        <w:tab/>
        <w:t>If you find that the Accused had no opportunity to retreat, or if he or she has attempted unsuccessfully to withdraw from the conflict, then he or she may be justified in killing in self-defense if you find that the State has failed to disprove the defense, as I have described it to you, beyond a reasonable doubt.</w:t>
      </w:r>
    </w:p>
    <w:p w:rsidR="00CB6541" w:rsidRDefault="00CB6541" w:rsidP="00CB6541">
      <w:pPr>
        <w:numPr>
          <w:ilvl w:val="12"/>
          <w:numId w:val="0"/>
        </w:numPr>
        <w:rPr>
          <w:sz w:val="22"/>
          <w:szCs w:val="22"/>
        </w:rPr>
      </w:pPr>
    </w:p>
    <w:p w:rsidR="00CB6541" w:rsidRDefault="00CB6541" w:rsidP="00CB6541">
      <w:pPr>
        <w:numPr>
          <w:ilvl w:val="12"/>
          <w:numId w:val="0"/>
        </w:numPr>
        <w:rPr>
          <w:sz w:val="22"/>
          <w:szCs w:val="22"/>
        </w:rPr>
      </w:pPr>
      <w:r>
        <w:rPr>
          <w:b/>
          <w:bCs/>
          <w:sz w:val="22"/>
          <w:szCs w:val="22"/>
        </w:rPr>
        <w:t xml:space="preserve">Authority: </w:t>
      </w:r>
      <w:r>
        <w:rPr>
          <w:i/>
          <w:iCs/>
          <w:sz w:val="22"/>
          <w:szCs w:val="22"/>
        </w:rPr>
        <w:t>McDonald v. State</w:t>
      </w:r>
      <w:r>
        <w:rPr>
          <w:sz w:val="22"/>
          <w:szCs w:val="22"/>
        </w:rPr>
        <w:t>, 264 Ind. 477, 346 N.E.2d 569 (1975), o</w:t>
      </w:r>
      <w:r w:rsidRPr="00D145B4">
        <w:rPr>
          <w:sz w:val="22"/>
          <w:szCs w:val="22"/>
        </w:rPr>
        <w:t xml:space="preserve">verruled in part by </w:t>
      </w:r>
      <w:r w:rsidRPr="008D0679">
        <w:rPr>
          <w:i/>
          <w:sz w:val="22"/>
          <w:szCs w:val="22"/>
        </w:rPr>
        <w:t>Watts v. State</w:t>
      </w:r>
      <w:r w:rsidRPr="00D145B4">
        <w:rPr>
          <w:sz w:val="22"/>
          <w:szCs w:val="22"/>
        </w:rPr>
        <w:t>, 885 N.E.2d 1228, 1233 (Ind. 2008)</w:t>
      </w:r>
      <w:r>
        <w:rPr>
          <w:sz w:val="22"/>
          <w:szCs w:val="22"/>
        </w:rPr>
        <w:t xml:space="preserve">; </w:t>
      </w:r>
      <w:r>
        <w:rPr>
          <w:i/>
          <w:iCs/>
          <w:sz w:val="22"/>
          <w:szCs w:val="22"/>
        </w:rPr>
        <w:t xml:space="preserve">See also French v. </w:t>
      </w:r>
      <w:r>
        <w:rPr>
          <w:sz w:val="22"/>
          <w:szCs w:val="22"/>
        </w:rPr>
        <w:t xml:space="preserve">State, 273 Ind. 275, 403 N.E.2d 821 (1980) and </w:t>
      </w:r>
      <w:r w:rsidRPr="008D0679">
        <w:rPr>
          <w:i/>
          <w:sz w:val="22"/>
          <w:szCs w:val="22"/>
        </w:rPr>
        <w:t>Washington v. State</w:t>
      </w:r>
      <w:r>
        <w:rPr>
          <w:sz w:val="22"/>
          <w:szCs w:val="22"/>
        </w:rPr>
        <w:t xml:space="preserve">, 997 N.E.2d 342 (Ind. 2013) (although this is a different factual situation, this is the Court’s most recent discussion of the </w:t>
      </w:r>
      <w:r w:rsidRPr="008D0679">
        <w:rPr>
          <w:i/>
          <w:sz w:val="22"/>
          <w:szCs w:val="22"/>
        </w:rPr>
        <w:t>French</w:t>
      </w:r>
      <w:r>
        <w:rPr>
          <w:sz w:val="22"/>
          <w:szCs w:val="22"/>
        </w:rPr>
        <w:t xml:space="preserve"> instruction).</w:t>
      </w:r>
    </w:p>
    <w:p w:rsidR="009F4D54" w:rsidRDefault="009F4D54"/>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CITRUS_JURISDICTION" w:val="Bluebook"/>
    <w:docVar w:name="CITRUS_DOC_GUID" w:val="349b33da-d619-4062-b609-da7eae503b84"/>
  </w:docVars>
  <w:rsids>
    <w:rsidRoot w:val="0026762E"/>
    <w:rsid w:val="0026762E"/>
    <w:rsid w:val="009F4D54"/>
    <w:rsid w:val="00CB6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1DAA2A-5638-4396-A231-4BA4A334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62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6762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762E"/>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0E87DAA3-A0F6-4352-B15E-25F4091EE1B2}"/>
</file>

<file path=customXml/itemProps2.xml><?xml version="1.0" encoding="utf-8"?>
<ds:datastoreItem xmlns:ds="http://schemas.openxmlformats.org/officeDocument/2006/customXml" ds:itemID="{7D79EF49-C012-4D55-8DBD-2BDB4B8FEAFE}"/>
</file>

<file path=customXml/itemProps3.xml><?xml version="1.0" encoding="utf-8"?>
<ds:datastoreItem xmlns:ds="http://schemas.openxmlformats.org/officeDocument/2006/customXml" ds:itemID="{CB56B23A-6B80-4989-99B7-BB5544D9E347}"/>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2</cp:revision>
  <dcterms:created xsi:type="dcterms:W3CDTF">2013-10-21T22:01:00Z</dcterms:created>
  <dcterms:modified xsi:type="dcterms:W3CDTF">2017-04-21T13:58:00Z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