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F5D60" w:rsidRPr="006266F7" w:rsidRDefault="006F5D60" w:rsidP="006F5D60">
      <w:pPr>
        <w:pStyle w:val="Heading1"/>
        <w:jc w:val="center"/>
        <w:rPr>
          <w:sz w:val="28"/>
          <w:szCs w:val="28"/>
        </w:rPr>
      </w:pPr>
      <w:bookmarkStart w:id="0" w:name="_Toc369589017"/>
      <w:r w:rsidRPr="006266F7">
        <w:rPr>
          <w:sz w:val="28"/>
          <w:szCs w:val="28"/>
        </w:rPr>
        <w:t>10.2</w:t>
      </w:r>
      <w:r w:rsidR="00DE1C6A">
        <w:rPr>
          <w:sz w:val="28"/>
          <w:szCs w:val="28"/>
        </w:rPr>
        <w:t>5</w:t>
      </w:r>
      <w:r w:rsidRPr="006266F7">
        <w:rPr>
          <w:sz w:val="28"/>
          <w:szCs w:val="28"/>
        </w:rPr>
        <w:t>.  Use of Force to Protect Person or Property</w:t>
      </w:r>
      <w:bookmarkEnd w:id="0"/>
      <w:r w:rsidRPr="006266F7">
        <w:rPr>
          <w:sz w:val="28"/>
          <w:szCs w:val="28"/>
        </w:rPr>
        <w:t xml:space="preserve"> </w:t>
      </w:r>
    </w:p>
    <w:p w:rsidR="006F5D60" w:rsidRDefault="006F5D60" w:rsidP="006F5D60">
      <w:pPr>
        <w:numPr>
          <w:ilvl w:val="12"/>
          <w:numId w:val="0"/>
        </w:numPr>
        <w:rPr>
          <w:sz w:val="22"/>
          <w:szCs w:val="22"/>
        </w:rPr>
      </w:pPr>
    </w:p>
    <w:p w:rsidR="00DE1C6A" w:rsidRDefault="00DE1C6A" w:rsidP="00DE1C6A">
      <w:pPr>
        <w:numPr>
          <w:ilvl w:val="12"/>
          <w:numId w:val="0"/>
        </w:numPr>
        <w:rPr>
          <w:sz w:val="22"/>
          <w:szCs w:val="22"/>
        </w:rPr>
      </w:pPr>
      <w:r>
        <w:rPr>
          <w:b/>
          <w:bCs/>
          <w:sz w:val="22"/>
          <w:szCs w:val="22"/>
        </w:rPr>
        <w:t xml:space="preserve">*** Note: Additional fact - specific and more creative instructions regarding self-defense may be found in the “Battered Spouse Defense” Section </w:t>
      </w:r>
    </w:p>
    <w:p w:rsidR="00DE1C6A" w:rsidRDefault="00DE1C6A" w:rsidP="00DE1C6A">
      <w:pPr>
        <w:numPr>
          <w:ilvl w:val="12"/>
          <w:numId w:val="0"/>
        </w:numPr>
        <w:rPr>
          <w:sz w:val="22"/>
          <w:szCs w:val="22"/>
        </w:rPr>
      </w:pPr>
    </w:p>
    <w:p w:rsidR="00DE1C6A" w:rsidRPr="00DF21AF" w:rsidRDefault="00DE1C6A" w:rsidP="00B34007">
      <w:pPr>
        <w:widowControl/>
        <w:autoSpaceDE/>
        <w:autoSpaceDN/>
        <w:adjustRightInd/>
        <w:spacing w:before="100" w:beforeAutospacing="1" w:after="100" w:afterAutospacing="1"/>
        <w:ind w:firstLine="720"/>
        <w:rPr>
          <w:sz w:val="24"/>
          <w:szCs w:val="24"/>
        </w:rPr>
      </w:pPr>
      <w:r w:rsidRPr="00DF21AF">
        <w:rPr>
          <w:sz w:val="24"/>
          <w:szCs w:val="24"/>
        </w:rPr>
        <w:t xml:space="preserve">It is an issue whether the </w:t>
      </w:r>
      <w:r w:rsidR="00B70986">
        <w:rPr>
          <w:sz w:val="24"/>
          <w:szCs w:val="24"/>
        </w:rPr>
        <w:t>Accused</w:t>
      </w:r>
      <w:bookmarkStart w:id="1" w:name="_GoBack"/>
      <w:bookmarkEnd w:id="1"/>
      <w:r>
        <w:rPr>
          <w:sz w:val="24"/>
          <w:szCs w:val="24"/>
        </w:rPr>
        <w:t xml:space="preserve"> </w:t>
      </w:r>
      <w:r w:rsidRPr="00DF21AF">
        <w:rPr>
          <w:sz w:val="24"/>
          <w:szCs w:val="24"/>
        </w:rPr>
        <w:t>acted in [self-defense] [defense of another person].</w:t>
      </w:r>
    </w:p>
    <w:p w:rsidR="00DE1C6A" w:rsidRPr="00DF21AF" w:rsidRDefault="00DE1C6A" w:rsidP="00B34007">
      <w:pPr>
        <w:widowControl/>
        <w:autoSpaceDE/>
        <w:autoSpaceDN/>
        <w:adjustRightInd/>
        <w:spacing w:before="100" w:beforeAutospacing="1" w:after="100" w:afterAutospacing="1"/>
        <w:ind w:firstLine="720"/>
        <w:rPr>
          <w:sz w:val="24"/>
          <w:szCs w:val="24"/>
        </w:rPr>
      </w:pPr>
      <w:r w:rsidRPr="00DF21AF">
        <w:rPr>
          <w:sz w:val="24"/>
          <w:szCs w:val="24"/>
        </w:rPr>
        <w:t xml:space="preserve">A person may use reasonable force against another person to protect (himself/herself from what he/she) or (someone else) from what the </w:t>
      </w:r>
      <w:r>
        <w:rPr>
          <w:sz w:val="24"/>
          <w:szCs w:val="24"/>
        </w:rPr>
        <w:t>Accused</w:t>
      </w:r>
      <w:r w:rsidRPr="00DF21AF">
        <w:rPr>
          <w:sz w:val="24"/>
          <w:szCs w:val="24"/>
        </w:rPr>
        <w:t xml:space="preserve"> reasonably believes to be the imminent use of unlawful force.</w:t>
      </w:r>
    </w:p>
    <w:p w:rsidR="00DE1C6A" w:rsidRPr="00DF21AF" w:rsidRDefault="00DE1C6A" w:rsidP="00B34007">
      <w:pPr>
        <w:widowControl/>
        <w:autoSpaceDE/>
        <w:autoSpaceDN/>
        <w:adjustRightInd/>
        <w:spacing w:before="100" w:beforeAutospacing="1" w:after="100" w:afterAutospacing="1"/>
        <w:ind w:firstLine="720"/>
        <w:rPr>
          <w:sz w:val="24"/>
          <w:szCs w:val="24"/>
        </w:rPr>
      </w:pPr>
      <w:r w:rsidRPr="00DF21AF">
        <w:rPr>
          <w:sz w:val="24"/>
          <w:szCs w:val="24"/>
        </w:rPr>
        <w:t>A person is justified in using deadly force, and does not have a duty to retreat, only if he/she reasonably believes that deadly force is necessary [to prevent serious bodily injury to himself/herself or a third person] [to prevent the commission of a forcible felony].</w:t>
      </w:r>
    </w:p>
    <w:p w:rsidR="00DE1C6A" w:rsidRPr="00DF21AF" w:rsidRDefault="00DE1C6A" w:rsidP="00DE1C6A">
      <w:pPr>
        <w:widowControl/>
        <w:autoSpaceDE/>
        <w:autoSpaceDN/>
        <w:adjustRightInd/>
        <w:spacing w:before="100" w:beforeAutospacing="1" w:after="100" w:afterAutospacing="1"/>
        <w:rPr>
          <w:sz w:val="24"/>
          <w:szCs w:val="24"/>
        </w:rPr>
      </w:pPr>
      <w:r w:rsidRPr="00DF21AF">
        <w:rPr>
          <w:sz w:val="24"/>
          <w:szCs w:val="24"/>
        </w:rPr>
        <w:t>[However, a person may not use force if:</w:t>
      </w:r>
    </w:p>
    <w:p w:rsidR="00DE1C6A" w:rsidRPr="00DF21AF" w:rsidRDefault="00DE1C6A" w:rsidP="00DE1C6A">
      <w:pPr>
        <w:widowControl/>
        <w:autoSpaceDE/>
        <w:autoSpaceDN/>
        <w:adjustRightInd/>
        <w:spacing w:before="100" w:beforeAutospacing="1" w:after="100" w:afterAutospacing="1"/>
        <w:rPr>
          <w:sz w:val="24"/>
          <w:szCs w:val="24"/>
        </w:rPr>
      </w:pPr>
      <w:r w:rsidRPr="00DF21AF">
        <w:rPr>
          <w:sz w:val="24"/>
          <w:szCs w:val="24"/>
        </w:rPr>
        <w:t>(he/she is committing a crime that is directly and immediately connected to the (confrontation) (use a descriptive term based on evidence).</w:t>
      </w:r>
    </w:p>
    <w:p w:rsidR="00DE1C6A" w:rsidRPr="00DF21AF" w:rsidRDefault="00DE1C6A" w:rsidP="00DE1C6A">
      <w:pPr>
        <w:widowControl/>
        <w:autoSpaceDE/>
        <w:autoSpaceDN/>
        <w:adjustRightInd/>
        <w:spacing w:before="100" w:beforeAutospacing="1" w:after="100" w:afterAutospacing="1"/>
        <w:rPr>
          <w:sz w:val="24"/>
          <w:szCs w:val="24"/>
        </w:rPr>
      </w:pPr>
      <w:r w:rsidRPr="00DF21AF">
        <w:rPr>
          <w:sz w:val="24"/>
          <w:szCs w:val="24"/>
        </w:rPr>
        <w:t>(or)</w:t>
      </w:r>
    </w:p>
    <w:p w:rsidR="00DE1C6A" w:rsidRPr="00DF21AF" w:rsidRDefault="00DE1C6A" w:rsidP="00DE1C6A">
      <w:pPr>
        <w:widowControl/>
        <w:autoSpaceDE/>
        <w:autoSpaceDN/>
        <w:adjustRightInd/>
        <w:spacing w:before="100" w:beforeAutospacing="1" w:after="100" w:afterAutospacing="1"/>
        <w:rPr>
          <w:sz w:val="24"/>
          <w:szCs w:val="24"/>
        </w:rPr>
      </w:pPr>
      <w:r w:rsidRPr="00DF21AF">
        <w:rPr>
          <w:sz w:val="24"/>
          <w:szCs w:val="24"/>
        </w:rPr>
        <w:t>(he/she is escaping after the commission of a crime that is directly and immediately connected to the (confrontation) (use a descriptive term based on evidence).)</w:t>
      </w:r>
    </w:p>
    <w:p w:rsidR="00DE1C6A" w:rsidRPr="00DF21AF" w:rsidRDefault="00DE1C6A" w:rsidP="00DE1C6A">
      <w:pPr>
        <w:widowControl/>
        <w:autoSpaceDE/>
        <w:autoSpaceDN/>
        <w:adjustRightInd/>
        <w:spacing w:before="100" w:beforeAutospacing="1" w:after="100" w:afterAutospacing="1"/>
        <w:rPr>
          <w:sz w:val="24"/>
          <w:szCs w:val="24"/>
        </w:rPr>
      </w:pPr>
      <w:r w:rsidRPr="00DF21AF">
        <w:rPr>
          <w:sz w:val="24"/>
          <w:szCs w:val="24"/>
        </w:rPr>
        <w:t>(or)</w:t>
      </w:r>
    </w:p>
    <w:p w:rsidR="00DE1C6A" w:rsidRPr="00DF21AF" w:rsidRDefault="00DE1C6A" w:rsidP="00DE1C6A">
      <w:pPr>
        <w:widowControl/>
        <w:autoSpaceDE/>
        <w:autoSpaceDN/>
        <w:adjustRightInd/>
        <w:spacing w:before="100" w:beforeAutospacing="1" w:after="100" w:afterAutospacing="1"/>
        <w:rPr>
          <w:sz w:val="24"/>
          <w:szCs w:val="24"/>
        </w:rPr>
      </w:pPr>
      <w:r w:rsidRPr="00DF21AF">
        <w:rPr>
          <w:sz w:val="24"/>
          <w:szCs w:val="24"/>
        </w:rPr>
        <w:t>(he/she provokes a fight with another person with intent to cause bodily injury to that person).</w:t>
      </w:r>
    </w:p>
    <w:p w:rsidR="00DE1C6A" w:rsidRPr="00DF21AF" w:rsidRDefault="00DE1C6A" w:rsidP="00DE1C6A">
      <w:pPr>
        <w:widowControl/>
        <w:autoSpaceDE/>
        <w:autoSpaceDN/>
        <w:adjustRightInd/>
        <w:spacing w:before="100" w:beforeAutospacing="1" w:after="100" w:afterAutospacing="1"/>
        <w:rPr>
          <w:sz w:val="24"/>
          <w:szCs w:val="24"/>
        </w:rPr>
      </w:pPr>
      <w:r w:rsidRPr="00DF21AF">
        <w:rPr>
          <w:sz w:val="24"/>
          <w:szCs w:val="24"/>
        </w:rPr>
        <w:t>(or)</w:t>
      </w:r>
    </w:p>
    <w:p w:rsidR="00DE1C6A" w:rsidRPr="00DF21AF" w:rsidRDefault="00DE1C6A" w:rsidP="00DE1C6A">
      <w:pPr>
        <w:widowControl/>
        <w:autoSpaceDE/>
        <w:autoSpaceDN/>
        <w:adjustRightInd/>
        <w:spacing w:before="100" w:beforeAutospacing="1" w:after="100" w:afterAutospacing="1"/>
        <w:rPr>
          <w:sz w:val="24"/>
          <w:szCs w:val="24"/>
        </w:rPr>
      </w:pPr>
      <w:r w:rsidRPr="00DF21AF">
        <w:rPr>
          <w:sz w:val="24"/>
          <w:szCs w:val="24"/>
        </w:rPr>
        <w:t>(he/she has willingly entered into a fight with another person or started the fight, unless he withdraws from the fight and communicates to the other person his intent to withdraw and the other person nevertheless continues or threatens to continue the fight).]</w:t>
      </w:r>
    </w:p>
    <w:p w:rsidR="00DE1C6A" w:rsidRPr="00DF21AF" w:rsidRDefault="00DE1C6A" w:rsidP="00B34007">
      <w:pPr>
        <w:widowControl/>
        <w:autoSpaceDE/>
        <w:autoSpaceDN/>
        <w:adjustRightInd/>
        <w:spacing w:before="100" w:beforeAutospacing="1" w:after="100" w:afterAutospacing="1"/>
        <w:ind w:firstLine="720"/>
        <w:rPr>
          <w:sz w:val="24"/>
          <w:szCs w:val="24"/>
        </w:rPr>
      </w:pPr>
      <w:r w:rsidRPr="00DF21AF">
        <w:rPr>
          <w:sz w:val="24"/>
          <w:szCs w:val="24"/>
        </w:rPr>
        <w:t xml:space="preserve">The State has the burden of proving beyond a reasonable doubt that the </w:t>
      </w:r>
      <w:r>
        <w:rPr>
          <w:sz w:val="24"/>
          <w:szCs w:val="24"/>
        </w:rPr>
        <w:t>Accused</w:t>
      </w:r>
      <w:r w:rsidRPr="00DF21AF">
        <w:rPr>
          <w:sz w:val="24"/>
          <w:szCs w:val="24"/>
        </w:rPr>
        <w:t xml:space="preserve"> did not act in self-defense.</w:t>
      </w:r>
    </w:p>
    <w:p w:rsidR="00DE1C6A" w:rsidRDefault="00DE1C6A" w:rsidP="00DE1C6A">
      <w:pPr>
        <w:numPr>
          <w:ilvl w:val="12"/>
          <w:numId w:val="0"/>
        </w:numPr>
        <w:rPr>
          <w:b/>
          <w:bCs/>
          <w:sz w:val="22"/>
          <w:szCs w:val="22"/>
        </w:rPr>
      </w:pPr>
    </w:p>
    <w:p w:rsidR="00DE1C6A" w:rsidRDefault="00DE1C6A" w:rsidP="00DE1C6A">
      <w:pPr>
        <w:numPr>
          <w:ilvl w:val="12"/>
          <w:numId w:val="0"/>
        </w:numPr>
        <w:rPr>
          <w:sz w:val="22"/>
          <w:szCs w:val="22"/>
        </w:rPr>
      </w:pPr>
      <w:r>
        <w:rPr>
          <w:b/>
          <w:bCs/>
          <w:sz w:val="22"/>
          <w:szCs w:val="22"/>
        </w:rPr>
        <w:t xml:space="preserve">Authority: </w:t>
      </w:r>
      <w:r>
        <w:rPr>
          <w:sz w:val="22"/>
          <w:szCs w:val="22"/>
        </w:rPr>
        <w:t>IN Pattern Instruction No. 10.0300, I.C. 35-41-3-2.</w:t>
      </w:r>
    </w:p>
    <w:p w:rsidR="00DE1C6A" w:rsidRDefault="00DE1C6A" w:rsidP="00DE1C6A">
      <w:pPr>
        <w:numPr>
          <w:ilvl w:val="12"/>
          <w:numId w:val="0"/>
        </w:numPr>
        <w:rPr>
          <w:sz w:val="22"/>
          <w:szCs w:val="22"/>
        </w:rPr>
      </w:pPr>
    </w:p>
    <w:p w:rsidR="00DE1C6A" w:rsidRDefault="00DE1C6A" w:rsidP="00DE1C6A">
      <w:pPr>
        <w:numPr>
          <w:ilvl w:val="12"/>
          <w:numId w:val="0"/>
        </w:numPr>
        <w:rPr>
          <w:sz w:val="22"/>
          <w:szCs w:val="22"/>
        </w:rPr>
      </w:pPr>
    </w:p>
    <w:p w:rsidR="00DE1C6A" w:rsidRPr="00BE378F" w:rsidRDefault="00DE1C6A" w:rsidP="00DE1C6A">
      <w:pPr>
        <w:numPr>
          <w:ilvl w:val="12"/>
          <w:numId w:val="0"/>
        </w:numPr>
        <w:rPr>
          <w:b/>
          <w:sz w:val="22"/>
          <w:szCs w:val="22"/>
        </w:rPr>
      </w:pPr>
      <w:r w:rsidRPr="00BE378F">
        <w:rPr>
          <w:b/>
          <w:sz w:val="22"/>
          <w:szCs w:val="22"/>
        </w:rPr>
        <w:t>Comments from Pattern Committee:</w:t>
      </w:r>
    </w:p>
    <w:p w:rsidR="00DE1C6A" w:rsidRPr="00556954" w:rsidRDefault="00DE1C6A" w:rsidP="00DE1C6A">
      <w:pPr>
        <w:numPr>
          <w:ilvl w:val="12"/>
          <w:numId w:val="0"/>
        </w:numPr>
        <w:rPr>
          <w:sz w:val="22"/>
          <w:szCs w:val="22"/>
        </w:rPr>
      </w:pPr>
      <w:r>
        <w:rPr>
          <w:sz w:val="22"/>
          <w:szCs w:val="22"/>
        </w:rPr>
        <w:t>[T</w:t>
      </w:r>
      <w:r w:rsidRPr="00556954">
        <w:rPr>
          <w:sz w:val="22"/>
          <w:szCs w:val="22"/>
        </w:rPr>
        <w:t xml:space="preserve">]here must be an immediate causal connection between the crime and the confrontation. Stated differently, the evidence must show that but for the defendant committing a crime, the confrontation </w:t>
      </w:r>
      <w:r w:rsidRPr="00556954">
        <w:rPr>
          <w:sz w:val="22"/>
          <w:szCs w:val="22"/>
        </w:rPr>
        <w:lastRenderedPageBreak/>
        <w:t>resulting in injury to the victim would not have occurred.</w:t>
      </w:r>
      <w:r>
        <w:rPr>
          <w:sz w:val="22"/>
          <w:szCs w:val="22"/>
        </w:rPr>
        <w:t xml:space="preserve">  </w:t>
      </w:r>
      <w:r>
        <w:rPr>
          <w:i/>
          <w:sz w:val="22"/>
          <w:szCs w:val="22"/>
        </w:rPr>
        <w:t>Mayes v. State</w:t>
      </w:r>
      <w:r w:rsidRPr="00A375D7">
        <w:rPr>
          <w:sz w:val="22"/>
          <w:szCs w:val="22"/>
        </w:rPr>
        <w:t>, 744 N.E.2d 390 (Ind. 2001)</w:t>
      </w:r>
      <w:r w:rsidRPr="00556954">
        <w:rPr>
          <w:sz w:val="22"/>
          <w:szCs w:val="22"/>
        </w:rPr>
        <w:t>.</w:t>
      </w:r>
    </w:p>
    <w:p w:rsidR="00DE1C6A" w:rsidRPr="00556954" w:rsidRDefault="00DE1C6A" w:rsidP="00DE1C6A">
      <w:pPr>
        <w:numPr>
          <w:ilvl w:val="12"/>
          <w:numId w:val="0"/>
        </w:numPr>
        <w:rPr>
          <w:sz w:val="22"/>
          <w:szCs w:val="22"/>
        </w:rPr>
      </w:pPr>
      <w:r w:rsidRPr="00556954">
        <w:rPr>
          <w:sz w:val="22"/>
          <w:szCs w:val="22"/>
        </w:rPr>
        <w:t xml:space="preserve">The committing a crime limits apply only when defendant “was actively engaged in the perpetration of a crime, and that criminal activity produced the confrontation wherein the force was employed.” </w:t>
      </w:r>
      <w:r>
        <w:rPr>
          <w:i/>
          <w:sz w:val="22"/>
          <w:szCs w:val="22"/>
        </w:rPr>
        <w:t>Harvey v. State</w:t>
      </w:r>
      <w:r>
        <w:rPr>
          <w:sz w:val="22"/>
          <w:szCs w:val="22"/>
        </w:rPr>
        <w:t>,</w:t>
      </w:r>
      <w:r w:rsidRPr="00A375D7">
        <w:rPr>
          <w:sz w:val="22"/>
          <w:szCs w:val="22"/>
        </w:rPr>
        <w:t xml:space="preserve"> 652 N.E.2d 876 (Ind. Ct. App. 1995)</w:t>
      </w:r>
      <w:r w:rsidRPr="00556954">
        <w:rPr>
          <w:sz w:val="22"/>
          <w:szCs w:val="22"/>
        </w:rPr>
        <w:t xml:space="preserve">, </w:t>
      </w:r>
      <w:r w:rsidRPr="00BE378F">
        <w:rPr>
          <w:i/>
          <w:sz w:val="22"/>
          <w:szCs w:val="22"/>
        </w:rPr>
        <w:t>transfer denied</w:t>
      </w:r>
      <w:r w:rsidRPr="00556954">
        <w:rPr>
          <w:sz w:val="22"/>
          <w:szCs w:val="22"/>
        </w:rPr>
        <w:t xml:space="preserve"> (homicide defendant entitled to invoke self-defense even though at time of alleged murder he had no license for his pistol and hence was committing the offense of possession of a handgun without a license).</w:t>
      </w:r>
      <w:r>
        <w:rPr>
          <w:sz w:val="22"/>
          <w:szCs w:val="22"/>
        </w:rPr>
        <w:t xml:space="preserve">  </w:t>
      </w:r>
      <w:r w:rsidRPr="00556954">
        <w:rPr>
          <w:sz w:val="22"/>
          <w:szCs w:val="22"/>
        </w:rPr>
        <w:t xml:space="preserve">When a claim of self defense is raised and finds support in the evidence, the burden to disprove this offense beyond a reasonable doubt rests on the State. </w:t>
      </w:r>
      <w:r w:rsidRPr="00BE378F">
        <w:rPr>
          <w:i/>
          <w:sz w:val="22"/>
          <w:szCs w:val="22"/>
        </w:rPr>
        <w:t>Wilson v. State</w:t>
      </w:r>
      <w:r w:rsidRPr="00A375D7">
        <w:rPr>
          <w:sz w:val="22"/>
          <w:szCs w:val="22"/>
        </w:rPr>
        <w:t>, 770 N.E.2d 799 (Ind. 2002)</w:t>
      </w:r>
      <w:r w:rsidRPr="00556954">
        <w:rPr>
          <w:sz w:val="22"/>
          <w:szCs w:val="22"/>
        </w:rPr>
        <w:t>.</w:t>
      </w:r>
      <w:r>
        <w:rPr>
          <w:sz w:val="22"/>
          <w:szCs w:val="22"/>
        </w:rPr>
        <w:t xml:space="preserve">  </w:t>
      </w:r>
      <w:r w:rsidRPr="00556954">
        <w:rPr>
          <w:sz w:val="22"/>
          <w:szCs w:val="22"/>
        </w:rPr>
        <w:t>The following terms are defined by law: “bodily injury” (</w:t>
      </w:r>
      <w:r w:rsidRPr="00A375D7">
        <w:rPr>
          <w:sz w:val="22"/>
          <w:szCs w:val="22"/>
        </w:rPr>
        <w:t>I.C. 35-31.5-2-29</w:t>
      </w:r>
      <w:r w:rsidRPr="00556954">
        <w:rPr>
          <w:sz w:val="22"/>
          <w:szCs w:val="22"/>
        </w:rPr>
        <w:t xml:space="preserve">, </w:t>
      </w:r>
      <w:r w:rsidRPr="00A375D7">
        <w:rPr>
          <w:sz w:val="22"/>
          <w:szCs w:val="22"/>
        </w:rPr>
        <w:t>Instruction No. 14.0420</w:t>
      </w:r>
      <w:r w:rsidRPr="00556954">
        <w:rPr>
          <w:sz w:val="22"/>
          <w:szCs w:val="22"/>
        </w:rPr>
        <w:t>); “deadly force” (</w:t>
      </w:r>
      <w:r w:rsidRPr="00A375D7">
        <w:rPr>
          <w:sz w:val="22"/>
          <w:szCs w:val="22"/>
        </w:rPr>
        <w:t>I.C. 35-31.5-2-85</w:t>
      </w:r>
      <w:r w:rsidRPr="00556954">
        <w:rPr>
          <w:sz w:val="22"/>
          <w:szCs w:val="22"/>
        </w:rPr>
        <w:t xml:space="preserve">; </w:t>
      </w:r>
      <w:r w:rsidRPr="00A375D7">
        <w:rPr>
          <w:sz w:val="22"/>
          <w:szCs w:val="22"/>
        </w:rPr>
        <w:t>Instruction No. 14.1020</w:t>
      </w:r>
      <w:r w:rsidRPr="00556954">
        <w:rPr>
          <w:sz w:val="22"/>
          <w:szCs w:val="22"/>
        </w:rPr>
        <w:t>); and “serious bodily injury” (</w:t>
      </w:r>
      <w:r w:rsidRPr="00A375D7">
        <w:rPr>
          <w:sz w:val="22"/>
          <w:szCs w:val="22"/>
        </w:rPr>
        <w:t>I.C. 35-31.5-2-291</w:t>
      </w:r>
      <w:r w:rsidRPr="00556954">
        <w:rPr>
          <w:sz w:val="22"/>
          <w:szCs w:val="22"/>
        </w:rPr>
        <w:t xml:space="preserve">; </w:t>
      </w:r>
      <w:r w:rsidRPr="00A375D7">
        <w:rPr>
          <w:sz w:val="22"/>
          <w:szCs w:val="22"/>
        </w:rPr>
        <w:t>Instruction No. 14.3620</w:t>
      </w:r>
      <w:r w:rsidRPr="00556954">
        <w:rPr>
          <w:sz w:val="22"/>
          <w:szCs w:val="22"/>
        </w:rPr>
        <w:t>).</w:t>
      </w:r>
    </w:p>
    <w:p w:rsidR="00DE1C6A" w:rsidRDefault="00DE1C6A" w:rsidP="00DE1C6A">
      <w:pPr>
        <w:numPr>
          <w:ilvl w:val="12"/>
          <w:numId w:val="0"/>
        </w:numPr>
        <w:rPr>
          <w:sz w:val="22"/>
          <w:szCs w:val="22"/>
        </w:rPr>
      </w:pPr>
    </w:p>
    <w:p w:rsidR="00DE1C6A" w:rsidRDefault="00DE1C6A" w:rsidP="00DE1C6A">
      <w:pPr>
        <w:numPr>
          <w:ilvl w:val="12"/>
          <w:numId w:val="0"/>
        </w:numPr>
        <w:rPr>
          <w:sz w:val="22"/>
          <w:szCs w:val="22"/>
        </w:rPr>
      </w:pPr>
    </w:p>
    <w:p w:rsidR="00DE1C6A" w:rsidRPr="00AD06F6" w:rsidRDefault="00DE1C6A" w:rsidP="00DE1C6A">
      <w:pPr>
        <w:numPr>
          <w:ilvl w:val="12"/>
          <w:numId w:val="0"/>
        </w:numPr>
        <w:rPr>
          <w:sz w:val="22"/>
          <w:szCs w:val="22"/>
        </w:rPr>
      </w:pPr>
      <w:r w:rsidRPr="00AD06F6">
        <w:rPr>
          <w:b/>
          <w:bCs/>
          <w:sz w:val="22"/>
          <w:szCs w:val="22"/>
        </w:rPr>
        <w:t xml:space="preserve">Note [added]: </w:t>
      </w:r>
      <w:r w:rsidRPr="00AD06F6">
        <w:rPr>
          <w:sz w:val="22"/>
          <w:szCs w:val="22"/>
        </w:rPr>
        <w:t xml:space="preserve">In </w:t>
      </w:r>
      <w:r w:rsidRPr="00AD06F6">
        <w:rPr>
          <w:i/>
          <w:iCs/>
          <w:sz w:val="22"/>
          <w:szCs w:val="22"/>
        </w:rPr>
        <w:t>Burnside v. State</w:t>
      </w:r>
      <w:r w:rsidRPr="00AD06F6">
        <w:rPr>
          <w:sz w:val="22"/>
          <w:szCs w:val="22"/>
        </w:rPr>
        <w:t xml:space="preserve">, 858 N.E.2d 232, 240-41 (Ind.Ct.App. 2006), IAC of appellate counsel was found for not challenging an instruction given at trial that required a finding of self-defense as a precondition to a verdict on the lesser included offense of reckless homicide. </w:t>
      </w:r>
    </w:p>
    <w:p w:rsidR="009F4D54" w:rsidRDefault="009F4D54" w:rsidP="00DE1C6A">
      <w:pPr>
        <w:numPr>
          <w:ilvl w:val="12"/>
          <w:numId w:val="0"/>
        </w:numPr>
      </w:pPr>
    </w:p>
    <w:sectPr w:rsidR="009F4D54" w:rsidSect="009F4D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C5CAF"/>
    <w:multiLevelType w:val="hybridMultilevel"/>
    <w:tmpl w:val="BE122F5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313D2C48"/>
    <w:multiLevelType w:val="hybridMultilevel"/>
    <w:tmpl w:val="221E38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6"/>
  <w:defaultTabStop w:val="720"/>
  <w:characterSpacingControl w:val="doNotCompress"/>
  <w:compat>
    <w:compatSetting w:name="compatibilityMode" w:uri="http://schemas.microsoft.com/office/word" w:val="12"/>
    <w:compatSetting w:name="useWord2013TrackBottomHyphenation" w:uri="http://schemas.microsoft.com/office/word" w:val="1"/>
  </w:compat>
  <w:docVars>
    <w:docVar w:name="_CITRUS_JURISDICTION" w:val="Bluebook"/>
    <w:docVar w:name="CITRUS_DOC_GUID" w:val="27958971-fa75-49b0-bfa8-2de8976dfba8"/>
  </w:docVars>
  <w:rsids>
    <w:rsidRoot w:val="006F5D60"/>
    <w:rsid w:val="006F5D60"/>
    <w:rsid w:val="009F4D54"/>
    <w:rsid w:val="00B34007"/>
    <w:rsid w:val="00B70986"/>
    <w:rsid w:val="00DE1C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4509B49-33F3-4A02-B9B8-09CE0BB7C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F5D60"/>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6F5D60"/>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F5D60"/>
    <w:rPr>
      <w:rFonts w:ascii="Cambria" w:eastAsia="Times New Roman" w:hAnsi="Cambria" w:cs="Times New Roman"/>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F7E8DC27C1424B920C2C268FC61F2B" ma:contentTypeVersion="18" ma:contentTypeDescription="Create a new document." ma:contentTypeScope="" ma:versionID="9859781d510ca4752f723066f09e0925">
  <xsd:schema xmlns:xsd="http://www.w3.org/2001/XMLSchema" xmlns:xs="http://www.w3.org/2001/XMLSchema" xmlns:p="http://schemas.microsoft.com/office/2006/metadata/properties" xmlns:ns1="http://schemas.microsoft.com/sharepoint/v3" xmlns:ns2="19f9304c-805d-4861-baca-e08d89417028" xmlns:ns3="a1ae6fbb-4e2c-48b7-8c7c-b89e86a0d2ee" xmlns:ns4="ddb5066c-6899-482b-9ea0-5145f9da9989" targetNamespace="http://schemas.microsoft.com/office/2006/metadata/properties" ma:root="true" ma:fieldsID="e2c587a4c08e97613bf6f14fb5c8e218" ns1:_="" ns2:_="" ns3:_="" ns4:_="">
    <xsd:import namespace="http://schemas.microsoft.com/sharepoint/v3"/>
    <xsd:import namespace="19f9304c-805d-4861-baca-e08d89417028"/>
    <xsd:import namespace="a1ae6fbb-4e2c-48b7-8c7c-b89e86a0d2ee"/>
    <xsd:import namespace="ddb5066c-6899-482b-9ea0-5145f9da998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DateModifi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9f9304c-805d-4861-baca-e08d894170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2675d46-00a0-495e-b90c-e7abf5d36b7d" ma:termSetId="09814cd3-568e-fe90-9814-8d621ff8fb84" ma:anchorId="fba54fb3-c3e1-fe81-a776-ca4b69148c4d" ma:open="true" ma:isKeyword="false">
      <xsd:complexType>
        <xsd:sequence>
          <xsd:element ref="pc:Terms" minOccurs="0" maxOccurs="1"/>
        </xsd:sequence>
      </xsd:complexType>
    </xsd:element>
    <xsd:element name="DateModified" ma:index="24" nillable="true" ma:displayName="Date Modified" ma:format="DateTime" ma:internalName="DateModifi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1ae6fbb-4e2c-48b7-8c7c-b89e86a0d2e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db5066c-6899-482b-9ea0-5145f9da998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7f00ac69-b4a1-47f8-b767-83f4d3b86c97}" ma:internalName="TaxCatchAll" ma:showField="CatchAllData" ma:web="a1ae6fbb-4e2c-48b7-8c7c-b89e86a0d2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db5066c-6899-482b-9ea0-5145f9da9989" xsi:nil="true"/>
    <lcf76f155ced4ddcb4097134ff3c332f xmlns="19f9304c-805d-4861-baca-e08d89417028">
      <Terms xmlns="http://schemas.microsoft.com/office/infopath/2007/PartnerControls"/>
    </lcf76f155ced4ddcb4097134ff3c332f>
    <DateModified xmlns="19f9304c-805d-4861-baca-e08d89417028" xsi:nil="true"/>
  </documentManagement>
</p:properties>
</file>

<file path=customXml/itemProps1.xml><?xml version="1.0" encoding="utf-8"?>
<ds:datastoreItem xmlns:ds="http://schemas.openxmlformats.org/officeDocument/2006/customXml" ds:itemID="{526879E7-2F64-4D1D-9BFD-837A7F439BCB}"/>
</file>

<file path=customXml/itemProps2.xml><?xml version="1.0" encoding="utf-8"?>
<ds:datastoreItem xmlns:ds="http://schemas.openxmlformats.org/officeDocument/2006/customXml" ds:itemID="{116E0841-6D43-4623-A238-E1781437B428}"/>
</file>

<file path=customXml/itemProps3.xml><?xml version="1.0" encoding="utf-8"?>
<ds:datastoreItem xmlns:ds="http://schemas.openxmlformats.org/officeDocument/2006/customXml" ds:itemID="{4CB3CE5A-ED10-45F4-A96E-A46940B981DF}"/>
</file>

<file path=docProps/app.xml><?xml version="1.0" encoding="utf-8"?>
<Properties xmlns="http://schemas.openxmlformats.org/officeDocument/2006/extended-properties" xmlns:vt="http://schemas.openxmlformats.org/officeDocument/2006/docPropsVTypes">
  <Template>Normal.dotm</Template>
  <TotalTime>3</TotalTime>
  <Pages>2</Pages>
  <Words>476</Words>
  <Characters>2719</Characters>
  <Application>Microsoft Office Word</Application>
  <DocSecurity>0</DocSecurity>
  <Lines>22</Lines>
  <Paragraphs>6</Paragraphs>
  <ScaleCrop>false</ScaleCrop>
  <Company/>
  <LinksUpToDate>false</LinksUpToDate>
  <CharactersWithSpaces>3189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schaney</dc:creator>
  <cp:keywords/>
  <dc:description/>
  <cp:lastModifiedBy>Wilson, Patrick Michael</cp:lastModifiedBy>
  <cp:revision>4</cp:revision>
  <dcterms:created xsi:type="dcterms:W3CDTF">2013-10-21T21:52:00Z</dcterms:created>
  <dcterms:modified xsi:type="dcterms:W3CDTF">2018-03-01T14:13:00Z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0x010100B0F7E8DC27C1424B920C2C268FC61F2B</vt:lpwstr>
  </property>
</Properties>
</file>