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510" w:rsidRPr="006266F7" w:rsidRDefault="00AE6510" w:rsidP="00AE6510">
      <w:pPr>
        <w:pStyle w:val="Heading1"/>
        <w:jc w:val="center"/>
        <w:rPr>
          <w:sz w:val="28"/>
          <w:szCs w:val="28"/>
        </w:rPr>
      </w:pPr>
      <w:bookmarkStart w:id="0" w:name="_Toc369589012"/>
      <w:r w:rsidRPr="006266F7">
        <w:rPr>
          <w:sz w:val="28"/>
          <w:szCs w:val="28"/>
        </w:rPr>
        <w:t>10.21.  Intoxication - Voluntary</w:t>
      </w:r>
      <w:bookmarkEnd w:id="0"/>
    </w:p>
    <w:p w:rsidR="00AE6510" w:rsidRDefault="00AE6510" w:rsidP="00AE6510">
      <w:pPr>
        <w:numPr>
          <w:ilvl w:val="12"/>
          <w:numId w:val="0"/>
        </w:numPr>
        <w:rPr>
          <w:sz w:val="22"/>
          <w:szCs w:val="22"/>
        </w:rPr>
      </w:pPr>
    </w:p>
    <w:p w:rsidR="00B6659B" w:rsidRDefault="00B6659B" w:rsidP="00B6659B">
      <w:pPr>
        <w:numPr>
          <w:ilvl w:val="12"/>
          <w:numId w:val="0"/>
        </w:numPr>
        <w:rPr>
          <w:sz w:val="22"/>
          <w:szCs w:val="22"/>
        </w:rPr>
      </w:pPr>
      <w:r>
        <w:rPr>
          <w:sz w:val="22"/>
          <w:szCs w:val="22"/>
        </w:rPr>
        <w:tab/>
        <w:t xml:space="preserve">Due to the decision in </w:t>
      </w:r>
      <w:r>
        <w:rPr>
          <w:i/>
          <w:iCs/>
          <w:sz w:val="22"/>
          <w:szCs w:val="22"/>
        </w:rPr>
        <w:t>Sanchez v. State,</w:t>
      </w:r>
      <w:r>
        <w:rPr>
          <w:sz w:val="22"/>
          <w:szCs w:val="22"/>
        </w:rPr>
        <w:t xml:space="preserve"> 749 N.E.2d 509 (Ind. 2001), the prior Indiana Pattern Instruction 10.09 has been replaced with the following revision and comments:</w:t>
      </w:r>
    </w:p>
    <w:p w:rsidR="00B6659B" w:rsidRDefault="00B6659B" w:rsidP="00B6659B">
      <w:pPr>
        <w:numPr>
          <w:ilvl w:val="12"/>
          <w:numId w:val="0"/>
        </w:numPr>
        <w:rPr>
          <w:sz w:val="22"/>
          <w:szCs w:val="22"/>
        </w:rPr>
      </w:pPr>
    </w:p>
    <w:p w:rsidR="00B6659B" w:rsidRDefault="00B6659B" w:rsidP="00B6659B">
      <w:pPr>
        <w:numPr>
          <w:ilvl w:val="12"/>
          <w:numId w:val="0"/>
        </w:numPr>
        <w:rPr>
          <w:sz w:val="22"/>
          <w:szCs w:val="22"/>
        </w:rPr>
      </w:pPr>
      <w:r>
        <w:rPr>
          <w:sz w:val="22"/>
          <w:szCs w:val="22"/>
        </w:rPr>
        <w:tab/>
        <w:t>Voluntary intoxication is not a defense to a charge of [</w:t>
      </w:r>
      <w:r>
        <w:rPr>
          <w:i/>
          <w:iCs/>
          <w:sz w:val="22"/>
          <w:szCs w:val="22"/>
        </w:rPr>
        <w:t>insert name of crime.</w:t>
      </w:r>
      <w:r>
        <w:rPr>
          <w:sz w:val="22"/>
          <w:szCs w:val="22"/>
        </w:rPr>
        <w:t>]  You may not take voluntary intoxication into consideration in determining whether the accused acted [intentionally] [knowingly] [recklessly] as alleged in the [information] [indictment].</w:t>
      </w:r>
    </w:p>
    <w:p w:rsidR="00B6659B" w:rsidRDefault="00B6659B" w:rsidP="00B6659B">
      <w:pPr>
        <w:numPr>
          <w:ilvl w:val="12"/>
          <w:numId w:val="0"/>
        </w:numPr>
        <w:rPr>
          <w:b/>
          <w:bCs/>
          <w:sz w:val="22"/>
          <w:szCs w:val="22"/>
        </w:rPr>
      </w:pPr>
    </w:p>
    <w:p w:rsidR="00B6659B" w:rsidRDefault="00B6659B" w:rsidP="00B6659B">
      <w:pPr>
        <w:numPr>
          <w:ilvl w:val="12"/>
          <w:numId w:val="0"/>
        </w:numPr>
        <w:rPr>
          <w:b/>
          <w:bCs/>
          <w:sz w:val="22"/>
          <w:szCs w:val="22"/>
        </w:rPr>
      </w:pPr>
      <w:r>
        <w:rPr>
          <w:b/>
          <w:bCs/>
          <w:sz w:val="22"/>
          <w:szCs w:val="22"/>
        </w:rPr>
        <w:t>Comments from pattern committee:</w:t>
      </w:r>
    </w:p>
    <w:p w:rsidR="00B6659B" w:rsidRDefault="00B6659B" w:rsidP="00B6659B">
      <w:pPr>
        <w:numPr>
          <w:ilvl w:val="12"/>
          <w:numId w:val="0"/>
        </w:numPr>
        <w:rPr>
          <w:b/>
          <w:bCs/>
          <w:sz w:val="22"/>
          <w:szCs w:val="22"/>
        </w:rPr>
      </w:pPr>
    </w:p>
    <w:p w:rsidR="00B6659B" w:rsidRDefault="00B6659B" w:rsidP="00B6659B">
      <w:pPr>
        <w:numPr>
          <w:ilvl w:val="12"/>
          <w:numId w:val="0"/>
        </w:numPr>
        <w:rPr>
          <w:sz w:val="22"/>
          <w:szCs w:val="22"/>
        </w:rPr>
      </w:pPr>
      <w:r>
        <w:rPr>
          <w:sz w:val="22"/>
          <w:szCs w:val="22"/>
        </w:rPr>
        <w:t xml:space="preserve">This instruction is to be given when the charged crime was committed on or after July 1, 1997 and evidence that the defendant was intoxicated has been admitted.  The Indiana Supreme Court has held that the 1997 legislative abolition of the voluntary intoxication defense is to be given effect under the Indiana and federal Constitutions. </w:t>
      </w:r>
      <w:r>
        <w:rPr>
          <w:i/>
          <w:iCs/>
          <w:sz w:val="22"/>
          <w:szCs w:val="22"/>
        </w:rPr>
        <w:t>Sanchez v. State</w:t>
      </w:r>
      <w:r>
        <w:rPr>
          <w:sz w:val="22"/>
          <w:szCs w:val="22"/>
        </w:rPr>
        <w:t>, 749 N.E.2d 509 (Ind. 2001).</w:t>
      </w:r>
    </w:p>
    <w:p w:rsidR="00B6659B" w:rsidRDefault="00B6659B" w:rsidP="00B6659B">
      <w:pPr>
        <w:numPr>
          <w:ilvl w:val="12"/>
          <w:numId w:val="0"/>
        </w:numPr>
        <w:rPr>
          <w:sz w:val="22"/>
          <w:szCs w:val="22"/>
        </w:rPr>
      </w:pPr>
    </w:p>
    <w:p w:rsidR="00B6659B" w:rsidRDefault="00B6659B" w:rsidP="00B6659B">
      <w:pPr>
        <w:numPr>
          <w:ilvl w:val="12"/>
          <w:numId w:val="0"/>
        </w:numPr>
        <w:rPr>
          <w:sz w:val="22"/>
          <w:szCs w:val="22"/>
        </w:rPr>
      </w:pPr>
      <w:r>
        <w:rPr>
          <w:b/>
          <w:bCs/>
          <w:sz w:val="22"/>
          <w:szCs w:val="22"/>
        </w:rPr>
        <w:t xml:space="preserve">Note: </w:t>
      </w:r>
      <w:r>
        <w:rPr>
          <w:sz w:val="22"/>
          <w:szCs w:val="22"/>
        </w:rPr>
        <w:t xml:space="preserve">Obviously the above instruction does nothing to assist in the defense of one charged with a crime, and highlights what is likely to be considered misconduct itself by the jury.  There are also constitutional arguments to be raised as intoxication relates to the </w:t>
      </w:r>
      <w:proofErr w:type="spellStart"/>
      <w:r>
        <w:rPr>
          <w:i/>
          <w:iCs/>
          <w:sz w:val="22"/>
          <w:szCs w:val="22"/>
        </w:rPr>
        <w:t>mens</w:t>
      </w:r>
      <w:proofErr w:type="spellEnd"/>
      <w:r>
        <w:rPr>
          <w:i/>
          <w:iCs/>
          <w:sz w:val="22"/>
          <w:szCs w:val="22"/>
        </w:rPr>
        <w:t xml:space="preserve"> rea</w:t>
      </w:r>
      <w:r>
        <w:rPr>
          <w:sz w:val="22"/>
          <w:szCs w:val="22"/>
        </w:rPr>
        <w:t xml:space="preserve"> element of an offense.  Because of these problems, the issue is not dead, and further discussion may be found at </w:t>
      </w:r>
      <w:r>
        <w:rPr>
          <w:b/>
          <w:bCs/>
          <w:sz w:val="22"/>
          <w:szCs w:val="22"/>
        </w:rPr>
        <w:t>Appendix J.</w:t>
      </w:r>
      <w:r>
        <w:rPr>
          <w:sz w:val="22"/>
          <w:szCs w:val="22"/>
        </w:rPr>
        <w:t xml:space="preserve">  Because the Indiana Supreme Court has ruled that voluntary intoxication is no longer a defense to any crime, however, no instructions to that effect are included here. </w:t>
      </w:r>
      <w:r>
        <w:rPr>
          <w:b/>
          <w:bCs/>
          <w:sz w:val="22"/>
          <w:szCs w:val="22"/>
        </w:rPr>
        <w:t xml:space="preserve"> </w:t>
      </w:r>
      <w:r>
        <w:rPr>
          <w:sz w:val="22"/>
          <w:szCs w:val="22"/>
        </w:rPr>
        <w:t xml:space="preserve">At the very least, however, in addition to arguing against the use of the instruction at all, as a fallback position, you may wish to propose adding something like this additional language at the end of the pattern instruction.  </w:t>
      </w:r>
      <w:r>
        <w:rPr>
          <w:b/>
          <w:bCs/>
          <w:sz w:val="22"/>
          <w:szCs w:val="22"/>
        </w:rPr>
        <w:t>“You are instructed, however, that the State bears the burden of proving the accused’s intent at the time of the charged offense.”</w:t>
      </w:r>
    </w:p>
    <w:p w:rsidR="00B6659B" w:rsidRDefault="00B6659B" w:rsidP="00B6659B">
      <w:pPr>
        <w:numPr>
          <w:ilvl w:val="12"/>
          <w:numId w:val="0"/>
        </w:numPr>
        <w:rPr>
          <w:sz w:val="22"/>
          <w:szCs w:val="22"/>
        </w:rPr>
      </w:pPr>
    </w:p>
    <w:p w:rsidR="00B6659B" w:rsidRPr="005D5C97" w:rsidRDefault="00B6659B" w:rsidP="00B6659B">
      <w:pPr>
        <w:numPr>
          <w:ilvl w:val="12"/>
          <w:numId w:val="0"/>
        </w:numPr>
        <w:rPr>
          <w:sz w:val="22"/>
          <w:szCs w:val="22"/>
        </w:rPr>
      </w:pPr>
      <w:r w:rsidRPr="007F3763">
        <w:rPr>
          <w:b/>
          <w:sz w:val="22"/>
          <w:szCs w:val="22"/>
        </w:rPr>
        <w:t>But see</w:t>
      </w:r>
      <w:r>
        <w:rPr>
          <w:b/>
          <w:sz w:val="22"/>
          <w:szCs w:val="22"/>
        </w:rPr>
        <w:t xml:space="preserve">: </w:t>
      </w:r>
      <w:r w:rsidRPr="005D5C97">
        <w:rPr>
          <w:sz w:val="22"/>
          <w:szCs w:val="22"/>
        </w:rPr>
        <w:t xml:space="preserve"> </w:t>
      </w:r>
      <w:r w:rsidRPr="007F3763">
        <w:rPr>
          <w:i/>
          <w:sz w:val="22"/>
          <w:szCs w:val="22"/>
          <w:u w:val="single"/>
        </w:rPr>
        <w:t>Phillips v. State</w:t>
      </w:r>
      <w:r w:rsidRPr="005D5C97">
        <w:rPr>
          <w:sz w:val="22"/>
          <w:szCs w:val="22"/>
        </w:rPr>
        <w:t xml:space="preserve">, 22 N.E.3d 749 (Ind. Ct. App. 2014), trial court's decision to give an instruction on voluntary intoxication was supported by the evidence, citing the following:  </w:t>
      </w:r>
    </w:p>
    <w:p w:rsidR="00B6659B" w:rsidRPr="005D5C97" w:rsidRDefault="00B6659B" w:rsidP="00B6659B">
      <w:pPr>
        <w:numPr>
          <w:ilvl w:val="12"/>
          <w:numId w:val="0"/>
        </w:numPr>
        <w:rPr>
          <w:sz w:val="22"/>
          <w:szCs w:val="22"/>
        </w:rPr>
      </w:pPr>
      <w:r w:rsidRPr="005D5C97">
        <w:rPr>
          <w:sz w:val="22"/>
          <w:szCs w:val="22"/>
        </w:rPr>
        <w:t>Our Supreme Court has outlined the standard trial courts are to use when determining whether to give the voluntary intoxication instruction as follows:</w:t>
      </w:r>
    </w:p>
    <w:p w:rsidR="00B6659B" w:rsidRPr="005D5C97" w:rsidRDefault="00B6659B" w:rsidP="00B6659B">
      <w:pPr>
        <w:numPr>
          <w:ilvl w:val="12"/>
          <w:numId w:val="0"/>
        </w:numPr>
        <w:rPr>
          <w:sz w:val="22"/>
          <w:szCs w:val="22"/>
        </w:rPr>
      </w:pPr>
      <w:r w:rsidRPr="005D5C97">
        <w:rPr>
          <w:sz w:val="22"/>
          <w:szCs w:val="22"/>
        </w:rPr>
        <w:t>When the prosecution requests the instruction it seeks to avoid acquittal on the basis of evidence of simple voluntary consumption of alcohol. When the defense requests the instruction it seeks to achieve acquittal by insuring consideration by the jury of evidence of intoxication. In either case the question for the court is whether there is an adequate evidentiary basis for it. That basis exists where the evidence of intoxication, if believed, is such that it could create a reasonable doubt in the mind of a rational trier of fact that the accused entertained the requisite specific intent. If it could do so the refusal of the instruction is error.</w:t>
      </w:r>
    </w:p>
    <w:p w:rsidR="00AE6510" w:rsidRDefault="00B6659B" w:rsidP="00B6659B">
      <w:pPr>
        <w:numPr>
          <w:ilvl w:val="12"/>
          <w:numId w:val="0"/>
        </w:numPr>
        <w:rPr>
          <w:sz w:val="22"/>
          <w:szCs w:val="22"/>
        </w:rPr>
      </w:pPr>
      <w:r w:rsidRPr="00A375D7">
        <w:rPr>
          <w:i/>
          <w:sz w:val="22"/>
          <w:szCs w:val="22"/>
        </w:rPr>
        <w:t>H</w:t>
      </w:r>
      <w:r w:rsidRPr="007F3763">
        <w:rPr>
          <w:i/>
          <w:sz w:val="22"/>
          <w:szCs w:val="22"/>
        </w:rPr>
        <w:t>ubbard v. State</w:t>
      </w:r>
      <w:r w:rsidRPr="00A375D7">
        <w:rPr>
          <w:sz w:val="22"/>
          <w:szCs w:val="22"/>
        </w:rPr>
        <w:t>, 469 N.E.2d 740, 742 (Ind. 1984)</w:t>
      </w:r>
      <w:r w:rsidRPr="005D5C97">
        <w:rPr>
          <w:sz w:val="22"/>
          <w:szCs w:val="22"/>
        </w:rPr>
        <w:t xml:space="preserve"> (quoting </w:t>
      </w:r>
      <w:r>
        <w:rPr>
          <w:i/>
          <w:sz w:val="22"/>
          <w:szCs w:val="22"/>
        </w:rPr>
        <w:t>Wi</w:t>
      </w:r>
      <w:r w:rsidRPr="007F3763">
        <w:rPr>
          <w:i/>
          <w:sz w:val="22"/>
          <w:szCs w:val="22"/>
        </w:rPr>
        <w:t>lliams v. State</w:t>
      </w:r>
      <w:r w:rsidRPr="00A375D7">
        <w:rPr>
          <w:sz w:val="22"/>
          <w:szCs w:val="22"/>
        </w:rPr>
        <w:t>, 273 Ind. 105, 108-09, 402 N.E.2d 954, 956 (1980))</w:t>
      </w:r>
      <w:r w:rsidRPr="005D5C97">
        <w:rPr>
          <w:sz w:val="22"/>
          <w:szCs w:val="22"/>
        </w:rPr>
        <w:t>.</w:t>
      </w:r>
      <w:bookmarkStart w:id="1" w:name="_GoBack"/>
      <w:bookmarkEnd w:id="1"/>
    </w:p>
    <w:p w:rsidR="009F4D54" w:rsidRDefault="009F4D54" w:rsidP="00AE6510"/>
    <w:sectPr w:rsidR="009F4D54" w:rsidSect="009F4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docVars>
    <w:docVar w:name="_CITRUS_JURISDICTION" w:val="Bluebook"/>
    <w:docVar w:name="CITRUS_DOC_GUID" w:val="70555b28-93fc-43c2-8143-935d521637fd"/>
  </w:docVars>
  <w:rsids>
    <w:rsidRoot w:val="00AE6510"/>
    <w:rsid w:val="009F4D54"/>
    <w:rsid w:val="00AE6510"/>
    <w:rsid w:val="00B66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5B5763-79F4-438E-ADAC-D0626751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51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E6510"/>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6510"/>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95433F76-8D0C-4B6D-A701-043FFA0CE4FE}"/>
</file>

<file path=customXml/itemProps2.xml><?xml version="1.0" encoding="utf-8"?>
<ds:datastoreItem xmlns:ds="http://schemas.openxmlformats.org/officeDocument/2006/customXml" ds:itemID="{8045D82F-5B44-4380-8F0A-4450E6193AED}"/>
</file>

<file path=customXml/itemProps3.xml><?xml version="1.0" encoding="utf-8"?>
<ds:datastoreItem xmlns:ds="http://schemas.openxmlformats.org/officeDocument/2006/customXml" ds:itemID="{7BD0D57A-667F-4C84-8300-60A9A869C310}"/>
</file>

<file path=docProps/app.xml><?xml version="1.0" encoding="utf-8"?>
<Properties xmlns="http://schemas.openxmlformats.org/officeDocument/2006/extended-properties" xmlns:vt="http://schemas.openxmlformats.org/officeDocument/2006/docPropsVTypes">
  <Template>Normal.dotm</Template>
  <TotalTime>1</TotalTime>
  <Pages>1</Pages>
  <Words>441</Words>
  <Characters>2519</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Schaney, Toni</cp:lastModifiedBy>
  <cp:revision>2</cp:revision>
  <dcterms:created xsi:type="dcterms:W3CDTF">2013-10-21T21:49:00Z</dcterms:created>
  <dcterms:modified xsi:type="dcterms:W3CDTF">2017-04-20T19:39:00Z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