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2A" w:rsidRPr="003404D2" w:rsidRDefault="00EB3A2A" w:rsidP="00EB3A2A">
      <w:pPr>
        <w:pStyle w:val="Heading1"/>
        <w:jc w:val="center"/>
        <w:rPr>
          <w:sz w:val="28"/>
          <w:szCs w:val="28"/>
        </w:rPr>
      </w:pPr>
      <w:bookmarkStart w:id="0" w:name="_Toc369589003"/>
      <w:r w:rsidRPr="003404D2">
        <w:rPr>
          <w:sz w:val="28"/>
          <w:szCs w:val="28"/>
        </w:rPr>
        <w:t>10.13.  Entrapment - Factors to Consider</w:t>
      </w:r>
      <w:bookmarkEnd w:id="0"/>
    </w:p>
    <w:p w:rsidR="00EB3A2A" w:rsidRDefault="00EB3A2A" w:rsidP="00EB3A2A">
      <w:pPr>
        <w:numPr>
          <w:ilvl w:val="12"/>
          <w:numId w:val="0"/>
        </w:numPr>
        <w:rPr>
          <w:sz w:val="22"/>
          <w:szCs w:val="22"/>
        </w:rPr>
      </w:pPr>
    </w:p>
    <w:p w:rsidR="001E099C" w:rsidRDefault="001E099C" w:rsidP="00EB3A2A">
      <w:pPr>
        <w:numPr>
          <w:ilvl w:val="12"/>
          <w:numId w:val="0"/>
        </w:numPr>
        <w:rPr>
          <w:sz w:val="22"/>
          <w:szCs w:val="22"/>
        </w:rPr>
      </w:pPr>
      <w:bookmarkStart w:id="1" w:name="_GoBack"/>
      <w:bookmarkEnd w:id="1"/>
    </w:p>
    <w:p w:rsidR="001E099C" w:rsidRPr="00FD4B6F" w:rsidRDefault="001E099C" w:rsidP="001E099C">
      <w:pPr>
        <w:numPr>
          <w:ilvl w:val="12"/>
          <w:numId w:val="0"/>
        </w:numPr>
        <w:ind w:firstLine="720"/>
        <w:rPr>
          <w:sz w:val="22"/>
          <w:szCs w:val="22"/>
        </w:rPr>
      </w:pPr>
      <w:r w:rsidRPr="00FD4B6F">
        <w:rPr>
          <w:sz w:val="22"/>
          <w:szCs w:val="22"/>
        </w:rPr>
        <w:t xml:space="preserve">In deciding whether the government has proved that it did not entrap the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>, you may consider all of the circumstances, including:</w:t>
      </w:r>
    </w:p>
    <w:p w:rsidR="001E099C" w:rsidRPr="00FD4B6F" w:rsidRDefault="001E099C" w:rsidP="001E099C">
      <w:pPr>
        <w:numPr>
          <w:ilvl w:val="12"/>
          <w:numId w:val="0"/>
        </w:numPr>
        <w:rPr>
          <w:sz w:val="22"/>
          <w:szCs w:val="22"/>
        </w:rPr>
      </w:pPr>
    </w:p>
    <w:p w:rsidR="001E099C" w:rsidRPr="00FD4B6F" w:rsidRDefault="001E099C" w:rsidP="001E099C">
      <w:pPr>
        <w:numPr>
          <w:ilvl w:val="1"/>
          <w:numId w:val="1"/>
        </w:numPr>
        <w:ind w:left="1080" w:hanging="360"/>
        <w:rPr>
          <w:sz w:val="22"/>
          <w:szCs w:val="22"/>
        </w:rPr>
      </w:pPr>
      <w:r>
        <w:rPr>
          <w:sz w:val="22"/>
          <w:szCs w:val="22"/>
        </w:rPr>
        <w:t>The Accused’s background</w:t>
      </w:r>
      <w:r w:rsidRPr="00FD4B6F">
        <w:rPr>
          <w:sz w:val="22"/>
          <w:szCs w:val="22"/>
        </w:rPr>
        <w:t xml:space="preserve">, </w:t>
      </w:r>
      <w:r>
        <w:rPr>
          <w:sz w:val="22"/>
          <w:szCs w:val="22"/>
        </w:rPr>
        <w:t>[</w:t>
      </w:r>
      <w:r w:rsidRPr="00FD4B6F">
        <w:rPr>
          <w:sz w:val="22"/>
          <w:szCs w:val="22"/>
        </w:rPr>
        <w:t>including his prior criminal history];</w:t>
      </w:r>
    </w:p>
    <w:p w:rsidR="001E099C" w:rsidRPr="00FD4B6F" w:rsidRDefault="001E099C" w:rsidP="001E099C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1E099C" w:rsidRPr="00FD4B6F" w:rsidRDefault="001E099C" w:rsidP="001E099C">
      <w:pPr>
        <w:numPr>
          <w:ilvl w:val="1"/>
          <w:numId w:val="1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>Whether [government agents; government informants; law enforcement officers] first suggested the criminal activity;</w:t>
      </w:r>
    </w:p>
    <w:p w:rsidR="001E099C" w:rsidRPr="00FD4B6F" w:rsidRDefault="001E099C" w:rsidP="001E099C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1E099C" w:rsidRPr="00FD4B6F" w:rsidRDefault="001E099C" w:rsidP="001E099C">
      <w:pPr>
        <w:numPr>
          <w:ilvl w:val="0"/>
          <w:numId w:val="1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 xml:space="preserve">Whether the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 xml:space="preserve"> engaged in the criminal activity for profit;</w:t>
      </w:r>
    </w:p>
    <w:p w:rsidR="001E099C" w:rsidRPr="00FD4B6F" w:rsidRDefault="001E099C" w:rsidP="001E099C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1E099C" w:rsidRPr="00FD4B6F" w:rsidRDefault="001E099C" w:rsidP="001E099C">
      <w:pPr>
        <w:numPr>
          <w:ilvl w:val="0"/>
          <w:numId w:val="1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 xml:space="preserve">Whether the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 xml:space="preserve"> was reluctant to engage in criminal activity;</w:t>
      </w:r>
    </w:p>
    <w:p w:rsidR="001E099C" w:rsidRPr="00FD4B6F" w:rsidRDefault="001E099C" w:rsidP="001E099C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1E099C" w:rsidRPr="00FD4B6F" w:rsidRDefault="001E099C" w:rsidP="001E099C">
      <w:pPr>
        <w:numPr>
          <w:ilvl w:val="0"/>
          <w:numId w:val="1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 xml:space="preserve">Whether law enforcement officers or their agents merely invited or solicited the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 xml:space="preserve"> to commit the offense;</w:t>
      </w:r>
    </w:p>
    <w:p w:rsidR="001E099C" w:rsidRPr="00FD4B6F" w:rsidRDefault="001E099C" w:rsidP="001E099C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1E099C" w:rsidRPr="00FD4B6F" w:rsidRDefault="001E099C" w:rsidP="001E099C">
      <w:pPr>
        <w:numPr>
          <w:ilvl w:val="0"/>
          <w:numId w:val="1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>The nature and extent of any pressure or persuasion used by law enforcement officers or their agents; [and]</w:t>
      </w:r>
    </w:p>
    <w:p w:rsidR="001E099C" w:rsidRPr="00FD4B6F" w:rsidRDefault="001E099C" w:rsidP="001E099C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1E099C" w:rsidRPr="00FD4B6F" w:rsidRDefault="001E099C" w:rsidP="001E099C">
      <w:pPr>
        <w:numPr>
          <w:ilvl w:val="0"/>
          <w:numId w:val="1"/>
        </w:numPr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 xml:space="preserve">Whether law enforcement officers or their agents offered the </w:t>
      </w:r>
      <w:r>
        <w:rPr>
          <w:sz w:val="22"/>
          <w:szCs w:val="22"/>
        </w:rPr>
        <w:t xml:space="preserve">Accused </w:t>
      </w:r>
      <w:r w:rsidRPr="00FD4B6F">
        <w:rPr>
          <w:sz w:val="22"/>
          <w:szCs w:val="22"/>
        </w:rPr>
        <w:t xml:space="preserve">an ordinary opportunity to commit a crime or instead offered the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 xml:space="preserve"> exceptional profits or persuasion</w:t>
      </w:r>
      <w:r>
        <w:rPr>
          <w:sz w:val="22"/>
          <w:szCs w:val="22"/>
        </w:rPr>
        <w:t>;</w:t>
      </w:r>
      <w:r w:rsidRPr="00FD4B6F">
        <w:rPr>
          <w:sz w:val="22"/>
          <w:szCs w:val="22"/>
        </w:rPr>
        <w:t xml:space="preserve"> [</w:t>
      </w:r>
      <w:r>
        <w:rPr>
          <w:sz w:val="22"/>
          <w:szCs w:val="22"/>
        </w:rPr>
        <w:t>a</w:t>
      </w:r>
      <w:r w:rsidRPr="00FD4B6F">
        <w:rPr>
          <w:sz w:val="22"/>
          <w:szCs w:val="22"/>
        </w:rPr>
        <w:t>nd]</w:t>
      </w:r>
    </w:p>
    <w:p w:rsidR="001E099C" w:rsidRPr="00FD4B6F" w:rsidRDefault="001E099C" w:rsidP="001E099C">
      <w:pPr>
        <w:numPr>
          <w:ilvl w:val="12"/>
          <w:numId w:val="0"/>
        </w:numPr>
        <w:ind w:left="1080" w:hanging="360"/>
        <w:rPr>
          <w:sz w:val="22"/>
          <w:szCs w:val="22"/>
        </w:rPr>
      </w:pPr>
    </w:p>
    <w:p w:rsidR="001E099C" w:rsidRPr="00FD4B6F" w:rsidRDefault="001E099C" w:rsidP="001E099C">
      <w:pPr>
        <w:numPr>
          <w:ilvl w:val="1"/>
          <w:numId w:val="2"/>
        </w:numPr>
        <w:tabs>
          <w:tab w:val="left" w:pos="1080"/>
        </w:tabs>
        <w:ind w:left="1080" w:hanging="360"/>
        <w:rPr>
          <w:sz w:val="22"/>
          <w:szCs w:val="22"/>
        </w:rPr>
      </w:pPr>
      <w:r w:rsidRPr="00FD4B6F">
        <w:rPr>
          <w:sz w:val="22"/>
          <w:szCs w:val="22"/>
        </w:rPr>
        <w:t xml:space="preserve">The </w:t>
      </w:r>
      <w:r>
        <w:rPr>
          <w:sz w:val="22"/>
          <w:szCs w:val="22"/>
        </w:rPr>
        <w:t>Accused</w:t>
      </w:r>
      <w:r w:rsidRPr="00FD4B6F">
        <w:rPr>
          <w:sz w:val="22"/>
          <w:szCs w:val="22"/>
        </w:rPr>
        <w:t>’s ability to commit the crime without the assistance of law enforcement officers or their agents.]</w:t>
      </w:r>
    </w:p>
    <w:p w:rsidR="001E099C" w:rsidRPr="00FD4B6F" w:rsidRDefault="001E099C" w:rsidP="001E099C">
      <w:pPr>
        <w:numPr>
          <w:ilvl w:val="12"/>
          <w:numId w:val="0"/>
        </w:numPr>
        <w:rPr>
          <w:sz w:val="22"/>
          <w:szCs w:val="22"/>
        </w:rPr>
      </w:pPr>
    </w:p>
    <w:p w:rsidR="001E099C" w:rsidRDefault="001E099C" w:rsidP="001E099C">
      <w:pPr>
        <w:numPr>
          <w:ilvl w:val="12"/>
          <w:numId w:val="0"/>
        </w:numPr>
        <w:ind w:firstLine="720"/>
        <w:rPr>
          <w:sz w:val="22"/>
          <w:szCs w:val="22"/>
        </w:rPr>
      </w:pPr>
      <w:r w:rsidRPr="00FD4B6F">
        <w:rPr>
          <w:sz w:val="22"/>
          <w:szCs w:val="22"/>
        </w:rPr>
        <w:t>It is up to you to determine the weight to be given to any of these factors and any others that you consider.</w:t>
      </w:r>
    </w:p>
    <w:p w:rsidR="001E099C" w:rsidRPr="00FD4B6F" w:rsidRDefault="001E099C" w:rsidP="001E099C">
      <w:pPr>
        <w:numPr>
          <w:ilvl w:val="12"/>
          <w:numId w:val="0"/>
        </w:numPr>
        <w:rPr>
          <w:sz w:val="22"/>
          <w:szCs w:val="22"/>
        </w:rPr>
      </w:pPr>
    </w:p>
    <w:p w:rsidR="001E099C" w:rsidRDefault="001E099C" w:rsidP="001E099C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sz w:val="22"/>
          <w:szCs w:val="22"/>
        </w:rPr>
        <w:t>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Circuit Pattern Instruction 6.05 (2012).</w:t>
      </w:r>
    </w:p>
    <w:p w:rsidR="001E099C" w:rsidRDefault="001E099C" w:rsidP="001E099C">
      <w:pPr>
        <w:numPr>
          <w:ilvl w:val="12"/>
          <w:numId w:val="0"/>
        </w:numPr>
        <w:rPr>
          <w:sz w:val="22"/>
          <w:szCs w:val="22"/>
        </w:rPr>
      </w:pPr>
    </w:p>
    <w:p w:rsidR="001E099C" w:rsidRDefault="001E099C" w:rsidP="001E099C">
      <w:pPr>
        <w:numPr>
          <w:ilvl w:val="12"/>
          <w:numId w:val="0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Committee Comment (from 7</w:t>
      </w:r>
      <w:r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Circuit)</w:t>
      </w:r>
    </w:p>
    <w:p w:rsidR="001E099C" w:rsidRPr="00FD4B6F" w:rsidRDefault="001E099C" w:rsidP="001E099C">
      <w:pPr>
        <w:numPr>
          <w:ilvl w:val="12"/>
          <w:numId w:val="0"/>
        </w:numPr>
        <w:rPr>
          <w:sz w:val="22"/>
          <w:szCs w:val="22"/>
        </w:rPr>
      </w:pPr>
    </w:p>
    <w:p w:rsidR="001E099C" w:rsidRDefault="001E099C" w:rsidP="001E099C">
      <w:pPr>
        <w:numPr>
          <w:ilvl w:val="12"/>
          <w:numId w:val="0"/>
        </w:numPr>
        <w:rPr>
          <w:sz w:val="22"/>
          <w:szCs w:val="22"/>
        </w:rPr>
      </w:pPr>
      <w:r w:rsidRPr="00FD4B6F">
        <w:rPr>
          <w:i/>
          <w:sz w:val="22"/>
          <w:szCs w:val="22"/>
        </w:rPr>
        <w:t>See, e.g., United States v. Lewis</w:t>
      </w:r>
      <w:r w:rsidRPr="00FD4B6F">
        <w:rPr>
          <w:sz w:val="22"/>
          <w:szCs w:val="22"/>
        </w:rPr>
        <w:t xml:space="preserve">, 641 F.3d 773, 781 (7th Cir. 2011); </w:t>
      </w:r>
      <w:r w:rsidRPr="00FD4B6F">
        <w:rPr>
          <w:i/>
          <w:sz w:val="22"/>
          <w:szCs w:val="22"/>
        </w:rPr>
        <w:t>United States v. Millet</w:t>
      </w:r>
      <w:r w:rsidRPr="00FD4B6F">
        <w:rPr>
          <w:sz w:val="22"/>
          <w:szCs w:val="22"/>
        </w:rPr>
        <w:t xml:space="preserve">, 510 F.3d 668, 675–76 (7th Cir. 2007); </w:t>
      </w:r>
      <w:r w:rsidRPr="00FD4B6F">
        <w:rPr>
          <w:i/>
          <w:sz w:val="22"/>
          <w:szCs w:val="22"/>
        </w:rPr>
        <w:t xml:space="preserve">United States v. </w:t>
      </w:r>
      <w:proofErr w:type="spellStart"/>
      <w:r w:rsidRPr="00FD4B6F">
        <w:rPr>
          <w:i/>
          <w:sz w:val="22"/>
          <w:szCs w:val="22"/>
        </w:rPr>
        <w:t>Bek</w:t>
      </w:r>
      <w:proofErr w:type="spellEnd"/>
      <w:r w:rsidRPr="00FD4B6F">
        <w:rPr>
          <w:sz w:val="22"/>
          <w:szCs w:val="22"/>
        </w:rPr>
        <w:t xml:space="preserve">, 493 F.3d 780, 790 (7th Cir. 2007); </w:t>
      </w:r>
      <w:r w:rsidRPr="00FD4B6F">
        <w:rPr>
          <w:i/>
          <w:sz w:val="22"/>
          <w:szCs w:val="22"/>
        </w:rPr>
        <w:t>United States v. Al-</w:t>
      </w:r>
      <w:proofErr w:type="spellStart"/>
      <w:r w:rsidRPr="00FD4B6F">
        <w:rPr>
          <w:i/>
          <w:sz w:val="22"/>
          <w:szCs w:val="22"/>
        </w:rPr>
        <w:t>Shahin</w:t>
      </w:r>
      <w:proofErr w:type="spellEnd"/>
      <w:r w:rsidRPr="00FD4B6F">
        <w:rPr>
          <w:sz w:val="22"/>
          <w:szCs w:val="22"/>
        </w:rPr>
        <w:t xml:space="preserve">, 474 F.3d 941, 948 (7th Cir. 2007). The last, bracketed factor is taken from </w:t>
      </w:r>
      <w:r w:rsidRPr="00FD4B6F">
        <w:rPr>
          <w:i/>
          <w:sz w:val="22"/>
          <w:szCs w:val="22"/>
        </w:rPr>
        <w:t xml:space="preserve">United States v. </w:t>
      </w:r>
      <w:proofErr w:type="spellStart"/>
      <w:r w:rsidRPr="00FD4B6F">
        <w:rPr>
          <w:i/>
          <w:sz w:val="22"/>
          <w:szCs w:val="22"/>
        </w:rPr>
        <w:t>Lopeztegui</w:t>
      </w:r>
      <w:proofErr w:type="spellEnd"/>
      <w:r w:rsidRPr="00FD4B6F">
        <w:rPr>
          <w:sz w:val="22"/>
          <w:szCs w:val="22"/>
        </w:rPr>
        <w:t xml:space="preserve">, 230 F.3d 1000 (7th Cir. 2000). In that case the court stated that "predisposition [for entrapment purposes] goes beyond the mere willingness to commit the crime, and also includes some consideration of the defendant’s ability to carry it out." </w:t>
      </w:r>
      <w:r w:rsidRPr="00FD4B6F">
        <w:rPr>
          <w:i/>
          <w:sz w:val="22"/>
          <w:szCs w:val="22"/>
        </w:rPr>
        <w:t>Id</w:t>
      </w:r>
      <w:r w:rsidRPr="00FD4B6F">
        <w:rPr>
          <w:sz w:val="22"/>
          <w:szCs w:val="22"/>
        </w:rPr>
        <w:t xml:space="preserve">. at 1003 (citing </w:t>
      </w:r>
      <w:r w:rsidRPr="00FD4B6F">
        <w:rPr>
          <w:i/>
          <w:sz w:val="22"/>
          <w:szCs w:val="22"/>
        </w:rPr>
        <w:t>United States v. Hollingsworth</w:t>
      </w:r>
      <w:r w:rsidRPr="00FD4B6F">
        <w:rPr>
          <w:sz w:val="22"/>
          <w:szCs w:val="22"/>
        </w:rPr>
        <w:t>, 27 F.3d 1196, 1200 (7th Cir. 1994)).</w:t>
      </w:r>
    </w:p>
    <w:p w:rsidR="009F4D54" w:rsidRDefault="009F4D54"/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5274"/>
    <w:multiLevelType w:val="multilevel"/>
    <w:tmpl w:val="251C1258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154BF2"/>
    <w:multiLevelType w:val="multilevel"/>
    <w:tmpl w:val="26C6DD5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3A2A"/>
    <w:rsid w:val="0014785F"/>
    <w:rsid w:val="001E099C"/>
    <w:rsid w:val="009F4D54"/>
    <w:rsid w:val="00EB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717350-A099-4E71-BCD3-11B42B79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B3A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3A2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147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5DE0FF00-4239-41A7-B370-12017BA9AA3F}"/>
</file>

<file path=customXml/itemProps2.xml><?xml version="1.0" encoding="utf-8"?>
<ds:datastoreItem xmlns:ds="http://schemas.openxmlformats.org/officeDocument/2006/customXml" ds:itemID="{54D2CD95-F5A1-4C27-93D0-3B64490925CD}"/>
</file>

<file path=customXml/itemProps3.xml><?xml version="1.0" encoding="utf-8"?>
<ds:datastoreItem xmlns:ds="http://schemas.openxmlformats.org/officeDocument/2006/customXml" ds:itemID="{53990338-A266-4A7A-BF7F-63A1CFE4E4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3</cp:revision>
  <dcterms:created xsi:type="dcterms:W3CDTF">2013-10-21T21:43:00Z</dcterms:created>
  <dcterms:modified xsi:type="dcterms:W3CDTF">2017-04-20T19:30:00Z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